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A48D8" w14:textId="5B06A554" w:rsidR="00B123FF" w:rsidRPr="00455A3C" w:rsidRDefault="004E4ED5" w:rsidP="00F60A53">
      <w:pPr>
        <w:pStyle w:val="F2-zkladn"/>
        <w:spacing w:line="276" w:lineRule="auto"/>
        <w:rPr>
          <w:b/>
          <w:sz w:val="28"/>
          <w:szCs w:val="28"/>
        </w:rPr>
      </w:pPr>
      <w:r>
        <w:rPr>
          <w:b/>
          <w:sz w:val="28"/>
          <w:szCs w:val="28"/>
        </w:rPr>
        <w:t>ANALÝZA</w:t>
      </w:r>
    </w:p>
    <w:p w14:paraId="59F979EF" w14:textId="732EC1D7" w:rsidR="000A2833" w:rsidRPr="00455A3C" w:rsidRDefault="00E10832" w:rsidP="00F60A53">
      <w:pPr>
        <w:pStyle w:val="F2-zkladn"/>
        <w:spacing w:line="276" w:lineRule="auto"/>
        <w:rPr>
          <w:b/>
          <w:sz w:val="28"/>
          <w:szCs w:val="28"/>
        </w:rPr>
      </w:pPr>
      <w:r>
        <w:rPr>
          <w:noProof/>
        </w:rPr>
        <mc:AlternateContent>
          <mc:Choice Requires="wps">
            <w:drawing>
              <wp:inline distT="0" distB="0" distL="0" distR="0" wp14:anchorId="2BB0B2BF" wp14:editId="24506624">
                <wp:extent cx="301625" cy="301625"/>
                <wp:effectExtent l="0" t="0" r="0" b="0"/>
                <wp:docPr id="2" name="AutoShape 2"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0A26E2"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p>
    <w:p w14:paraId="4EC0D461" w14:textId="52848A63" w:rsidR="000C727D" w:rsidRDefault="00E10832" w:rsidP="002027ED">
      <w:pPr>
        <w:pStyle w:val="F2-zkladn"/>
        <w:tabs>
          <w:tab w:val="right" w:pos="9070"/>
        </w:tabs>
        <w:spacing w:line="276" w:lineRule="auto"/>
      </w:pPr>
      <w:r>
        <w:rPr>
          <w:noProof/>
        </w:rPr>
        <mc:AlternateContent>
          <mc:Choice Requires="wps">
            <w:drawing>
              <wp:inline distT="0" distB="0" distL="0" distR="0" wp14:anchorId="2B2374B7" wp14:editId="6A8847A3">
                <wp:extent cx="301625" cy="301625"/>
                <wp:effectExtent l="0" t="0" r="0" b="0"/>
                <wp:docPr id="1" name="AutoShape 5"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C65DC1"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r w:rsidR="00DE3946" w:rsidRPr="00455A3C">
        <w:tab/>
      </w:r>
      <w:r w:rsidR="00DE3946" w:rsidRPr="00893890">
        <w:t>Praha,</w:t>
      </w:r>
      <w:r w:rsidR="00883B41">
        <w:t xml:space="preserve"> </w:t>
      </w:r>
      <w:r w:rsidR="00F40144">
        <w:t>2</w:t>
      </w:r>
      <w:r w:rsidR="00533105">
        <w:t>3</w:t>
      </w:r>
      <w:r w:rsidR="005420B4" w:rsidRPr="00893890">
        <w:t>.</w:t>
      </w:r>
      <w:r w:rsidR="00296EFF">
        <w:t xml:space="preserve"> </w:t>
      </w:r>
      <w:r w:rsidR="00866CD7">
        <w:t>února</w:t>
      </w:r>
      <w:r w:rsidR="00A30105" w:rsidRPr="00893890">
        <w:t xml:space="preserve"> 20</w:t>
      </w:r>
      <w:r w:rsidR="00A7414F" w:rsidRPr="00893890">
        <w:t>2</w:t>
      </w:r>
      <w:r w:rsidR="00CB6DEB">
        <w:t>4</w:t>
      </w:r>
    </w:p>
    <w:p w14:paraId="7EECF1EA" w14:textId="2B7450D3" w:rsidR="002027ED" w:rsidRPr="002027ED" w:rsidRDefault="002027ED" w:rsidP="002027ED">
      <w:pPr>
        <w:pStyle w:val="F2-zkladn"/>
        <w:tabs>
          <w:tab w:val="right" w:pos="9070"/>
        </w:tabs>
        <w:spacing w:line="276" w:lineRule="auto"/>
      </w:pPr>
    </w:p>
    <w:p w14:paraId="2E78882E" w14:textId="1B01959C" w:rsidR="00E76BE0" w:rsidRPr="00725F39" w:rsidRDefault="005F54F7" w:rsidP="00725F39">
      <w:pPr>
        <w:pStyle w:val="paragraph"/>
        <w:spacing w:before="0" w:beforeAutospacing="0" w:after="0" w:afterAutospacing="0" w:line="276" w:lineRule="auto"/>
        <w:jc w:val="both"/>
        <w:textAlignment w:val="baseline"/>
        <w:rPr>
          <w:rFonts w:ascii="Arial" w:hAnsi="Arial" w:cs="Arial"/>
          <w:b/>
          <w:bCs/>
          <w:color w:val="000000"/>
          <w:sz w:val="28"/>
          <w:szCs w:val="28"/>
          <w:lang w:val="cs-CZ"/>
        </w:rPr>
      </w:pPr>
      <w:r>
        <w:rPr>
          <w:rStyle w:val="normaltextrun"/>
          <w:rFonts w:ascii="Arial" w:hAnsi="Arial" w:cs="Arial"/>
          <w:b/>
          <w:bCs/>
          <w:color w:val="000000"/>
          <w:sz w:val="28"/>
          <w:szCs w:val="28"/>
          <w:lang w:val="cs-CZ"/>
        </w:rPr>
        <w:t xml:space="preserve">ETF 2.0 </w:t>
      </w:r>
      <w:r w:rsidRPr="005F54F7">
        <w:rPr>
          <w:rStyle w:val="normaltextrun"/>
          <w:rFonts w:ascii="Arial" w:hAnsi="Arial" w:cs="Arial"/>
          <w:b/>
          <w:bCs/>
          <w:color w:val="000000"/>
          <w:sz w:val="28"/>
          <w:szCs w:val="28"/>
          <w:lang w:val="cs-CZ"/>
        </w:rPr>
        <w:t xml:space="preserve">– </w:t>
      </w:r>
      <w:r>
        <w:rPr>
          <w:rStyle w:val="normaltextrun"/>
          <w:rFonts w:ascii="Arial" w:hAnsi="Arial" w:cs="Arial"/>
          <w:b/>
          <w:bCs/>
          <w:color w:val="000000"/>
          <w:sz w:val="28"/>
          <w:szCs w:val="28"/>
          <w:lang w:val="cs-CZ"/>
        </w:rPr>
        <w:t>Zájem investorů o ETF založená na výzkumu poroste</w:t>
      </w:r>
    </w:p>
    <w:p w14:paraId="6ED34030" w14:textId="637606C8" w:rsidR="005F54F7" w:rsidRPr="005F54F7" w:rsidRDefault="005F54F7" w:rsidP="007E4CDB">
      <w:pPr>
        <w:spacing w:line="240" w:lineRule="auto"/>
        <w:rPr>
          <w:i/>
          <w:iCs/>
        </w:rPr>
      </w:pPr>
      <w:r w:rsidRPr="005F54F7">
        <w:rPr>
          <w:i/>
          <w:iCs/>
        </w:rPr>
        <w:t xml:space="preserve">Komentář </w:t>
      </w:r>
      <w:proofErr w:type="spellStart"/>
      <w:r>
        <w:rPr>
          <w:i/>
          <w:iCs/>
        </w:rPr>
        <w:t>Dorcas</w:t>
      </w:r>
      <w:proofErr w:type="spellEnd"/>
      <w:r>
        <w:rPr>
          <w:i/>
          <w:iCs/>
        </w:rPr>
        <w:t xml:space="preserve"> Phillips</w:t>
      </w:r>
      <w:r w:rsidRPr="005F54F7">
        <w:rPr>
          <w:i/>
          <w:iCs/>
        </w:rPr>
        <w:t xml:space="preserve">, </w:t>
      </w:r>
      <w:r>
        <w:rPr>
          <w:i/>
          <w:iCs/>
        </w:rPr>
        <w:t>vedoucí kapitálových trhů ETF</w:t>
      </w:r>
    </w:p>
    <w:p w14:paraId="53FBF2B2" w14:textId="1A66A4F6" w:rsidR="007E4CDB" w:rsidRPr="007E4CDB" w:rsidRDefault="005F54F7" w:rsidP="007E4CDB">
      <w:pPr>
        <w:spacing w:line="240" w:lineRule="auto"/>
        <w:rPr>
          <w:rFonts w:asciiTheme="minorHAnsi" w:hAnsiTheme="minorHAnsi" w:cstheme="minorHAnsi"/>
          <w:b/>
          <w:bCs/>
          <w:sz w:val="24"/>
          <w:szCs w:val="24"/>
        </w:rPr>
      </w:pPr>
      <w:r>
        <w:rPr>
          <w:rFonts w:asciiTheme="minorHAnsi" w:hAnsiTheme="minorHAnsi" w:cstheme="minorHAnsi"/>
          <w:b/>
          <w:bCs/>
          <w:sz w:val="24"/>
          <w:szCs w:val="24"/>
        </w:rPr>
        <w:t>Trh ETF se vyvíjí a investoři se stále více zaměřují nejen na „čisté pasivní“ investiční strategie založené na tržní kapitalizaci, ale také na strategie opřené o výzkum, know-how investičních manažerů nebo postavené na dalším intelektuálním kapitálu.</w:t>
      </w:r>
    </w:p>
    <w:p w14:paraId="073B2074" w14:textId="750FBD3C" w:rsidR="00C129D7" w:rsidRDefault="00C129D7" w:rsidP="0061643A">
      <w:r>
        <w:rPr>
          <w:rFonts w:asciiTheme="minorHAnsi" w:hAnsiTheme="minorHAnsi" w:cstheme="minorHAnsi"/>
          <w:b/>
          <w:bCs/>
          <w:sz w:val="24"/>
          <w:szCs w:val="24"/>
        </w:rPr>
        <w:t>Klíčové body</w:t>
      </w:r>
    </w:p>
    <w:p w14:paraId="5A30D651" w14:textId="77777777" w:rsidR="00C129D7" w:rsidRDefault="00C129D7" w:rsidP="00C129D7">
      <w:pPr>
        <w:shd w:val="clear" w:color="auto" w:fill="FFFFFF"/>
        <w:spacing w:after="220" w:line="352" w:lineRule="auto"/>
      </w:pPr>
      <w:r w:rsidRPr="00C129D7">
        <w:t>Trh ETF se vyvíjí a investoři se poohlížejí i po jiných než "čistě pasivních" druzích ETF vážených podle tržní kapitalizace. Zajímají se i o investiční strategie založené na výzkumu a unikátním náhledu manažerů založeném na fundamentální analýze.</w:t>
      </w:r>
    </w:p>
    <w:p w14:paraId="243B6260" w14:textId="77777777" w:rsidR="00C129D7" w:rsidRPr="00C129D7" w:rsidRDefault="00C129D7" w:rsidP="00C129D7">
      <w:pPr>
        <w:shd w:val="clear" w:color="auto" w:fill="FFFFFF"/>
        <w:spacing w:after="220" w:line="352" w:lineRule="auto"/>
      </w:pPr>
      <w:r w:rsidRPr="00C129D7">
        <w:t>ETF založená na výzkumu mohou nabídnout širší a bohatší spektrum investičních strategií s diferencovanějším přístupem k využívání tržních příležitostí a řízení rizika.</w:t>
      </w:r>
    </w:p>
    <w:p w14:paraId="20A69BE0" w14:textId="3A9F46F6" w:rsidR="00C129D7" w:rsidRPr="00C129D7" w:rsidRDefault="00C129D7" w:rsidP="00C129D7">
      <w:pPr>
        <w:shd w:val="clear" w:color="auto" w:fill="FFFFFF"/>
        <w:spacing w:after="220" w:line="352" w:lineRule="auto"/>
      </w:pPr>
      <w:r w:rsidRPr="00C129D7">
        <w:t>Vzhledem k tomu, že obtížné a nevyzpytatelné tržní prostředí bude pravděpodobně panovat i nadále, vidíme prostor pro růst zájmu o ETF založené na výzkumu jako náhradě za základní strategie, jako stavební prvky v rámci řešení ESG, jako součást speciálních taktických strategií investujících do nejzajímavějších investičních témat nebo jako součásti individuálních klientských portfoliových řešení.</w:t>
      </w:r>
    </w:p>
    <w:p w14:paraId="4A20862B" w14:textId="6FA6C720" w:rsidR="0061643A" w:rsidRDefault="00C129D7" w:rsidP="0061643A">
      <w:pPr>
        <w:pStyle w:val="F2-zkladn"/>
        <w:rPr>
          <w:rFonts w:asciiTheme="minorHAnsi" w:hAnsiTheme="minorHAnsi" w:cstheme="minorHAnsi"/>
          <w:b/>
          <w:bCs/>
          <w:sz w:val="24"/>
          <w:szCs w:val="24"/>
        </w:rPr>
      </w:pPr>
      <w:r>
        <w:rPr>
          <w:rFonts w:asciiTheme="minorHAnsi" w:hAnsiTheme="minorHAnsi" w:cstheme="minorHAnsi"/>
          <w:b/>
          <w:bCs/>
          <w:sz w:val="24"/>
          <w:szCs w:val="24"/>
        </w:rPr>
        <w:t xml:space="preserve">Investoři se stále častěji poohlížejí po strategiích ETF s tržní kapitalizací a pasivních ETF </w:t>
      </w:r>
    </w:p>
    <w:p w14:paraId="540529D7" w14:textId="5069A2DD" w:rsidR="00C129D7" w:rsidRPr="00C129D7" w:rsidRDefault="00C129D7" w:rsidP="00C129D7">
      <w:pPr>
        <w:shd w:val="clear" w:color="auto" w:fill="FFFFFF"/>
        <w:spacing w:after="220" w:line="352" w:lineRule="auto"/>
      </w:pPr>
      <w:r w:rsidRPr="00C129D7">
        <w:t>Trh s ETF byl v posledních letech rostl vskutku impozantně. Například trh s ETF registrovanými v Evropě se za posledních 5 let téměř zdvojnásobil na 1,6 bilionu amerických dolarů. Vzhledem k tomu, že hlavní lákadla formátu ETF – nákladová efektivita, vysoká likvidita a transparentnost – mají u investorů stále velký ohlas, předpokládá se, že globální ETF sektor by do roku 2033 mohl dosáhnout objemu aktiv v hodnotě 30 bilionů (30,000 miliard) dolarů.</w:t>
      </w:r>
    </w:p>
    <w:p w14:paraId="19D2B2E9" w14:textId="77777777" w:rsidR="00C129D7" w:rsidRPr="00C129D7" w:rsidRDefault="00C129D7" w:rsidP="00C129D7">
      <w:pPr>
        <w:shd w:val="clear" w:color="auto" w:fill="FFFFFF"/>
        <w:spacing w:after="220" w:line="352" w:lineRule="auto"/>
      </w:pPr>
      <w:r w:rsidRPr="00C129D7">
        <w:t>Trh ETF však současně zraje. Investoři se dnes poohlížejí po jiných než "čistě pasivních" investičních strategiích, soustředěných na široké indexy vážené podle tržní kapitalizace (Market Cap ETF), které doposud do značné míry poháněly růst ETF.</w:t>
      </w:r>
    </w:p>
    <w:p w14:paraId="79E3483D" w14:textId="77777777" w:rsidR="00976040" w:rsidRDefault="00976040" w:rsidP="00976040">
      <w:pPr>
        <w:pStyle w:val="F2-zkladn"/>
      </w:pPr>
    </w:p>
    <w:p w14:paraId="74C2CA64" w14:textId="77777777" w:rsidR="00976040" w:rsidRDefault="00976040" w:rsidP="00976040">
      <w:pPr>
        <w:pStyle w:val="F2-zkladn"/>
      </w:pPr>
    </w:p>
    <w:p w14:paraId="25D3B576" w14:textId="76DF298E" w:rsidR="00976040" w:rsidRPr="00976040" w:rsidRDefault="00C129D7" w:rsidP="00493333">
      <w:pPr>
        <w:shd w:val="clear" w:color="auto" w:fill="FFFFFF"/>
        <w:spacing w:after="220" w:line="352" w:lineRule="auto"/>
      </w:pPr>
      <w:r w:rsidRPr="00C129D7">
        <w:lastRenderedPageBreak/>
        <w:t>Investoři stále častěji chtějí stejný efektivní formát ETF, ale s investiční expozicí podloženou fundamentálním výzkumem manažerů či jiným promyšleným základem, za účelem dosažení vyššího rizikově očištěného výnosu (</w:t>
      </w:r>
      <w:proofErr w:type="spellStart"/>
      <w:r w:rsidRPr="00C129D7">
        <w:t>Research</w:t>
      </w:r>
      <w:proofErr w:type="spellEnd"/>
      <w:r w:rsidRPr="00C129D7">
        <w:t>-led ETF). O tomto trendu svědčí pravidelné vyšší roční růsty, jaké zaznamenávají aktivně řízené ETF oproti základním pasivním indexovým ETF na evropském trhu – viz následující graf.</w:t>
      </w:r>
    </w:p>
    <w:p w14:paraId="6391E658" w14:textId="22880691" w:rsidR="004E4ED5" w:rsidRPr="00976040" w:rsidRDefault="0061643A" w:rsidP="00976040">
      <w:pPr>
        <w:pStyle w:val="F2-zkladn"/>
        <w:rPr>
          <w:rFonts w:asciiTheme="minorHAnsi" w:hAnsiTheme="minorHAnsi" w:cstheme="minorHAnsi"/>
          <w:b/>
          <w:bCs/>
          <w:sz w:val="24"/>
          <w:szCs w:val="24"/>
        </w:rPr>
      </w:pPr>
      <w:r w:rsidRPr="004E4ED5">
        <w:rPr>
          <w:rFonts w:asciiTheme="minorHAnsi" w:hAnsiTheme="minorHAnsi" w:cstheme="minorHAnsi"/>
          <w:b/>
          <w:bCs/>
          <w:sz w:val="24"/>
          <w:szCs w:val="24"/>
        </w:rPr>
        <w:t>Graf</w:t>
      </w:r>
      <w:r>
        <w:rPr>
          <w:rFonts w:asciiTheme="minorHAnsi" w:hAnsiTheme="minorHAnsi" w:cstheme="minorHAnsi"/>
          <w:b/>
          <w:bCs/>
          <w:sz w:val="24"/>
          <w:szCs w:val="24"/>
        </w:rPr>
        <w:t xml:space="preserve"> 1</w:t>
      </w:r>
      <w:r w:rsidRPr="004E4ED5">
        <w:rPr>
          <w:rFonts w:asciiTheme="minorHAnsi" w:hAnsiTheme="minorHAnsi" w:cstheme="minorHAnsi"/>
          <w:b/>
          <w:bCs/>
          <w:sz w:val="24"/>
          <w:szCs w:val="24"/>
        </w:rPr>
        <w:t xml:space="preserve">: </w:t>
      </w:r>
      <w:r w:rsidR="00493333">
        <w:rPr>
          <w:rFonts w:asciiTheme="minorHAnsi" w:hAnsiTheme="minorHAnsi" w:cstheme="minorHAnsi"/>
          <w:b/>
          <w:bCs/>
          <w:sz w:val="24"/>
          <w:szCs w:val="24"/>
        </w:rPr>
        <w:t xml:space="preserve">ETF se sídlem v Evropě </w:t>
      </w:r>
      <w:r w:rsidR="00493333" w:rsidRPr="00493333">
        <w:rPr>
          <w:rFonts w:asciiTheme="minorHAnsi" w:hAnsiTheme="minorHAnsi" w:cstheme="minorHAnsi"/>
          <w:b/>
          <w:bCs/>
          <w:sz w:val="24"/>
          <w:szCs w:val="24"/>
        </w:rPr>
        <w:t>–</w:t>
      </w:r>
      <w:r w:rsidR="00493333">
        <w:rPr>
          <w:rFonts w:asciiTheme="minorHAnsi" w:hAnsiTheme="minorHAnsi" w:cstheme="minorHAnsi"/>
          <w:b/>
          <w:bCs/>
          <w:sz w:val="24"/>
          <w:szCs w:val="24"/>
        </w:rPr>
        <w:t xml:space="preserve"> hlavní pasivní indexové ETF vs. vedlejší a aktivní akciové ETF, CAGR od roku 2018 do 31. prosince 2023</w:t>
      </w:r>
    </w:p>
    <w:p w14:paraId="04E0E736" w14:textId="1281C408" w:rsidR="004E4ED5" w:rsidRPr="00976040" w:rsidRDefault="00493333" w:rsidP="004E4ED5">
      <w:pPr>
        <w:spacing w:after="210" w:line="276" w:lineRule="auto"/>
        <w:rPr>
          <w:i/>
          <w:iCs/>
          <w:sz w:val="18"/>
          <w:szCs w:val="18"/>
        </w:rPr>
      </w:pPr>
      <w:r>
        <w:rPr>
          <w:noProof/>
        </w:rPr>
        <w:drawing>
          <wp:inline distT="114300" distB="114300" distL="114300" distR="114300" wp14:anchorId="00FB0CB8" wp14:editId="3A23AE29">
            <wp:extent cx="5731200" cy="3733800"/>
            <wp:effectExtent l="0" t="0" r="0" b="0"/>
            <wp:docPr id="4523144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5731200" cy="3733800"/>
                    </a:xfrm>
                    <a:prstGeom prst="rect">
                      <a:avLst/>
                    </a:prstGeom>
                    <a:ln/>
                  </pic:spPr>
                </pic:pic>
              </a:graphicData>
            </a:graphic>
          </wp:inline>
        </w:drawing>
      </w:r>
      <w:r w:rsidR="00976040" w:rsidRPr="00976040">
        <w:rPr>
          <w:i/>
          <w:iCs/>
          <w:sz w:val="18"/>
          <w:szCs w:val="18"/>
        </w:rPr>
        <w:t xml:space="preserve">Zdroj: </w:t>
      </w:r>
      <w:proofErr w:type="spellStart"/>
      <w:r w:rsidR="00976040" w:rsidRPr="00976040">
        <w:rPr>
          <w:i/>
          <w:iCs/>
          <w:sz w:val="18"/>
          <w:szCs w:val="18"/>
        </w:rPr>
        <w:t>Fidelity</w:t>
      </w:r>
      <w:proofErr w:type="spellEnd"/>
      <w:r w:rsidR="00976040" w:rsidRPr="00976040">
        <w:rPr>
          <w:i/>
          <w:iCs/>
          <w:sz w:val="18"/>
          <w:szCs w:val="18"/>
        </w:rPr>
        <w:t xml:space="preserve"> International</w:t>
      </w:r>
      <w:r>
        <w:rPr>
          <w:i/>
          <w:iCs/>
          <w:sz w:val="18"/>
          <w:szCs w:val="18"/>
        </w:rPr>
        <w:t xml:space="preserve">/ </w:t>
      </w:r>
      <w:proofErr w:type="spellStart"/>
      <w:r>
        <w:rPr>
          <w:i/>
          <w:iCs/>
          <w:sz w:val="18"/>
          <w:szCs w:val="18"/>
        </w:rPr>
        <w:t>Morningstar</w:t>
      </w:r>
      <w:proofErr w:type="spellEnd"/>
      <w:r w:rsidR="00976040" w:rsidRPr="00976040">
        <w:rPr>
          <w:i/>
          <w:iCs/>
          <w:sz w:val="18"/>
          <w:szCs w:val="18"/>
        </w:rPr>
        <w:t xml:space="preserve">, </w:t>
      </w:r>
      <w:r>
        <w:rPr>
          <w:i/>
          <w:iCs/>
          <w:sz w:val="18"/>
          <w:szCs w:val="18"/>
        </w:rPr>
        <w:t xml:space="preserve">31.prosinec </w:t>
      </w:r>
      <w:r w:rsidR="00976040" w:rsidRPr="00976040">
        <w:rPr>
          <w:i/>
          <w:iCs/>
          <w:sz w:val="18"/>
          <w:szCs w:val="18"/>
        </w:rPr>
        <w:t>202</w:t>
      </w:r>
      <w:r>
        <w:rPr>
          <w:i/>
          <w:iCs/>
          <w:sz w:val="18"/>
          <w:szCs w:val="18"/>
        </w:rPr>
        <w:t>3</w:t>
      </w:r>
      <w:r w:rsidR="00976040" w:rsidRPr="00976040">
        <w:rPr>
          <w:i/>
          <w:iCs/>
          <w:sz w:val="18"/>
          <w:szCs w:val="18"/>
        </w:rPr>
        <w:t>.</w:t>
      </w:r>
    </w:p>
    <w:p w14:paraId="7C5D47C4" w14:textId="02E90774" w:rsidR="00976040" w:rsidRPr="00976040" w:rsidRDefault="00493333" w:rsidP="00976040">
      <w:pPr>
        <w:pStyle w:val="F2-zkladn"/>
        <w:rPr>
          <w:rFonts w:asciiTheme="minorHAnsi" w:hAnsiTheme="minorHAnsi" w:cstheme="minorHAnsi"/>
          <w:b/>
          <w:bCs/>
          <w:sz w:val="24"/>
          <w:szCs w:val="24"/>
        </w:rPr>
      </w:pPr>
      <w:r>
        <w:rPr>
          <w:rFonts w:asciiTheme="minorHAnsi" w:hAnsiTheme="minorHAnsi" w:cstheme="minorHAnsi"/>
          <w:b/>
          <w:bCs/>
          <w:sz w:val="24"/>
          <w:szCs w:val="24"/>
        </w:rPr>
        <w:t>ETF založené na výzkumu využívají komplexní sadu nástrojů pro správu investic</w:t>
      </w:r>
    </w:p>
    <w:p w14:paraId="375BDCA6" w14:textId="77777777" w:rsidR="00493333" w:rsidRPr="00493333" w:rsidRDefault="00493333" w:rsidP="00493333">
      <w:pPr>
        <w:shd w:val="clear" w:color="auto" w:fill="FFFFFF"/>
        <w:spacing w:after="220" w:line="352" w:lineRule="auto"/>
      </w:pPr>
      <w:r w:rsidRPr="00493333">
        <w:t>Tržně vážené ETF mohou být na složitějším či dynamičtějším trhu ne zcela vhodným nástrojem, který může investory vystavit nežádoucím idiosynkratickým rizikům. Naproti tomu fondy ETF založené na výzkumu mohou využívat komplexní sadu nástrojů pro řízení investic a nabízet širší a bohatší spektrum investičních expozic s diferencovanějším přístupem k řízení rizik a vyhledávání příležitostí.</w:t>
      </w:r>
    </w:p>
    <w:p w14:paraId="33749B9C" w14:textId="77777777" w:rsidR="00493333" w:rsidRPr="00493333" w:rsidRDefault="00493333" w:rsidP="00493333">
      <w:pPr>
        <w:shd w:val="clear" w:color="auto" w:fill="FFFFFF"/>
        <w:spacing w:after="220" w:line="352" w:lineRule="auto"/>
      </w:pPr>
      <w:r w:rsidRPr="00493333">
        <w:t xml:space="preserve">Například ETF společnosti </w:t>
      </w:r>
      <w:proofErr w:type="spellStart"/>
      <w:r w:rsidRPr="00493333">
        <w:t>Fidelity</w:t>
      </w:r>
      <w:proofErr w:type="spellEnd"/>
      <w:r w:rsidRPr="00493333">
        <w:t xml:space="preserve"> založené na výzkumu využívají:</w:t>
      </w:r>
    </w:p>
    <w:p w14:paraId="18E19C1F" w14:textId="77777777" w:rsidR="00493333" w:rsidRPr="00493333" w:rsidRDefault="00493333" w:rsidP="00493333">
      <w:pPr>
        <w:numPr>
          <w:ilvl w:val="0"/>
          <w:numId w:val="38"/>
        </w:numPr>
        <w:shd w:val="clear" w:color="auto" w:fill="FFFFFF"/>
        <w:spacing w:before="0" w:line="352" w:lineRule="auto"/>
        <w:jc w:val="left"/>
      </w:pPr>
      <w:r w:rsidRPr="00493333">
        <w:t>desítky let zkušeností s fundamentálním výzkumem, získáváním tržních poznatků a ratingů, které se dívají dopředu;</w:t>
      </w:r>
    </w:p>
    <w:p w14:paraId="222F0F01" w14:textId="77777777" w:rsidR="00493333" w:rsidRPr="00493333" w:rsidRDefault="00493333" w:rsidP="00493333">
      <w:pPr>
        <w:numPr>
          <w:ilvl w:val="0"/>
          <w:numId w:val="38"/>
        </w:numPr>
        <w:shd w:val="clear" w:color="auto" w:fill="FFFFFF"/>
        <w:spacing w:before="0" w:line="352" w:lineRule="auto"/>
        <w:jc w:val="left"/>
      </w:pPr>
      <w:r w:rsidRPr="00493333">
        <w:t>integrovaných a aplikovaných přístupů k udržitelnému investování a</w:t>
      </w:r>
    </w:p>
    <w:p w14:paraId="025F669E" w14:textId="77777777" w:rsidR="00493333" w:rsidRPr="00493333" w:rsidRDefault="00493333" w:rsidP="00493333">
      <w:pPr>
        <w:numPr>
          <w:ilvl w:val="0"/>
          <w:numId w:val="38"/>
        </w:numPr>
        <w:shd w:val="clear" w:color="auto" w:fill="FFFFFF"/>
        <w:spacing w:before="0" w:after="220" w:line="352" w:lineRule="auto"/>
        <w:jc w:val="left"/>
      </w:pPr>
      <w:r w:rsidRPr="00493333">
        <w:t>disciplinovaného přístupu k řízení rizik, včetně diferencovaného procesu stavby portfolia, které se snaží řídit “</w:t>
      </w:r>
      <w:proofErr w:type="spellStart"/>
      <w:r w:rsidRPr="00493333">
        <w:t>tracking</w:t>
      </w:r>
      <w:proofErr w:type="spellEnd"/>
      <w:r w:rsidRPr="00493333">
        <w:t xml:space="preserve"> </w:t>
      </w:r>
      <w:proofErr w:type="spellStart"/>
      <w:r w:rsidRPr="00493333">
        <w:t>error</w:t>
      </w:r>
      <w:proofErr w:type="spellEnd"/>
      <w:r w:rsidRPr="00493333">
        <w:t>” a minimalizovat nežádoucí koncentraci a další související rizika.</w:t>
      </w:r>
    </w:p>
    <w:p w14:paraId="47081C75" w14:textId="77777777" w:rsidR="00493333" w:rsidRPr="00493333" w:rsidRDefault="00493333" w:rsidP="00493333">
      <w:pPr>
        <w:shd w:val="clear" w:color="auto" w:fill="FFFFFF"/>
        <w:spacing w:after="220" w:line="352" w:lineRule="auto"/>
      </w:pPr>
      <w:r w:rsidRPr="00493333">
        <w:t>Níže uvádíme 3 konkrétní příklady, co tím myslíme:</w:t>
      </w:r>
    </w:p>
    <w:p w14:paraId="68249C11" w14:textId="5AB0C7E9" w:rsidR="001C6F31" w:rsidRPr="00976040" w:rsidRDefault="00493333" w:rsidP="001C6F31">
      <w:pPr>
        <w:pStyle w:val="F2-zkladn"/>
        <w:rPr>
          <w:rFonts w:asciiTheme="minorHAnsi" w:hAnsiTheme="minorHAnsi" w:cstheme="minorHAnsi"/>
          <w:b/>
          <w:bCs/>
          <w:sz w:val="24"/>
          <w:szCs w:val="24"/>
        </w:rPr>
      </w:pPr>
      <w:r>
        <w:rPr>
          <w:rFonts w:asciiTheme="minorHAnsi" w:hAnsiTheme="minorHAnsi" w:cstheme="minorHAnsi"/>
          <w:b/>
          <w:bCs/>
          <w:sz w:val="24"/>
          <w:szCs w:val="24"/>
        </w:rPr>
        <w:lastRenderedPageBreak/>
        <w:t>ETF s akciovým výnosem</w:t>
      </w:r>
    </w:p>
    <w:p w14:paraId="47E92470" w14:textId="77777777" w:rsidR="00493333" w:rsidRDefault="00493333" w:rsidP="00493333">
      <w:pPr>
        <w:shd w:val="clear" w:color="auto" w:fill="FFFFFF"/>
        <w:spacing w:after="220" w:line="352" w:lineRule="auto"/>
        <w:rPr>
          <w:color w:val="20242B"/>
        </w:rPr>
      </w:pPr>
      <w:r>
        <w:rPr>
          <w:color w:val="20242B"/>
        </w:rPr>
        <w:t>Mnoho ETF nesoucích průběžný akciový výnos se přirozeně kloní k sektorům s nižším růstem, protože společnosti s vysokým růstem mají tendenci své zisky reinvestovat, a tím pádem vyplácet nižší dividendy. Ačkoli to samo o sobě není negativní, může tato strategie představovat promarněnou příležitost v obdobích, kdy růstový investiční faktor dosahuje lepších výsledků.</w:t>
      </w:r>
    </w:p>
    <w:p w14:paraId="397B3C4A" w14:textId="2A54BD77" w:rsidR="00493333" w:rsidRPr="00493333" w:rsidRDefault="00493333" w:rsidP="00493333">
      <w:pPr>
        <w:shd w:val="clear" w:color="auto" w:fill="FFFFFF"/>
        <w:spacing w:after="220" w:line="352" w:lineRule="auto"/>
        <w:rPr>
          <w:color w:val="20242B"/>
        </w:rPr>
      </w:pPr>
      <w:r>
        <w:rPr>
          <w:color w:val="20242B"/>
        </w:rPr>
        <w:t xml:space="preserve">Strategie našeho fondu </w:t>
      </w:r>
      <w:proofErr w:type="spellStart"/>
      <w:r>
        <w:rPr>
          <w:color w:val="20242B"/>
        </w:rPr>
        <w:t>Quality</w:t>
      </w:r>
      <w:proofErr w:type="spellEnd"/>
      <w:r>
        <w:rPr>
          <w:color w:val="20242B"/>
        </w:rPr>
        <w:t xml:space="preserve"> </w:t>
      </w:r>
      <w:proofErr w:type="spellStart"/>
      <w:r>
        <w:rPr>
          <w:color w:val="20242B"/>
        </w:rPr>
        <w:t>Income</w:t>
      </w:r>
      <w:proofErr w:type="spellEnd"/>
      <w:r>
        <w:rPr>
          <w:color w:val="20242B"/>
        </w:rPr>
        <w:t xml:space="preserve"> ETF se zaměřuje na společnosti vyšší kvality, které jsou schopny nabídnout atraktivní a udržitelnou úroveň dividend, ale také dlouhodobé zhodnocení kapitálu. Cílem je zlepšit výnos ve srovnání s hlavními tržními indexy zachycením vyššího podílu výnosů na rostoucím trhu a ochranou při poklesu, která je dosahována pomocí nižší “</w:t>
      </w:r>
      <w:proofErr w:type="spellStart"/>
      <w:r>
        <w:rPr>
          <w:color w:val="20242B"/>
        </w:rPr>
        <w:t>tracking</w:t>
      </w:r>
      <w:proofErr w:type="spellEnd"/>
      <w:r>
        <w:rPr>
          <w:color w:val="20242B"/>
        </w:rPr>
        <w:t xml:space="preserve"> </w:t>
      </w:r>
      <w:proofErr w:type="spellStart"/>
      <w:r>
        <w:rPr>
          <w:color w:val="20242B"/>
        </w:rPr>
        <w:t>error</w:t>
      </w:r>
      <w:proofErr w:type="spellEnd"/>
      <w:r>
        <w:rPr>
          <w:color w:val="20242B"/>
        </w:rPr>
        <w:t>”. Cílem je také, aby většinu výnosů generoval výběr jednotlivých akcií, nikoli excesivní či nezamýšlené sázky na určité sektory nebo země.</w:t>
      </w:r>
    </w:p>
    <w:p w14:paraId="1BF8E29A" w14:textId="09B439E2" w:rsidR="001C6F31" w:rsidRPr="00976040" w:rsidRDefault="00493333" w:rsidP="001C6F31">
      <w:pPr>
        <w:pStyle w:val="F2-zkladn"/>
        <w:rPr>
          <w:rFonts w:asciiTheme="minorHAnsi" w:hAnsiTheme="minorHAnsi" w:cstheme="minorHAnsi"/>
          <w:b/>
          <w:bCs/>
          <w:sz w:val="24"/>
          <w:szCs w:val="24"/>
        </w:rPr>
      </w:pPr>
      <w:r>
        <w:rPr>
          <w:rFonts w:asciiTheme="minorHAnsi" w:hAnsiTheme="minorHAnsi" w:cstheme="minorHAnsi"/>
          <w:b/>
          <w:bCs/>
          <w:sz w:val="24"/>
          <w:szCs w:val="24"/>
        </w:rPr>
        <w:t>ETF s pevným výnosem</w:t>
      </w:r>
    </w:p>
    <w:p w14:paraId="1AFDCCDA" w14:textId="77777777" w:rsidR="00493333" w:rsidRDefault="00493333" w:rsidP="00493333">
      <w:pPr>
        <w:shd w:val="clear" w:color="auto" w:fill="FFFFFF"/>
        <w:spacing w:after="220" w:line="352" w:lineRule="auto"/>
        <w:rPr>
          <w:color w:val="20242B"/>
        </w:rPr>
      </w:pPr>
      <w:r>
        <w:rPr>
          <w:color w:val="20242B"/>
        </w:rPr>
        <w:t>Na rozdíl od akcií jsou trhy s pevně úročenými instrumenty relativně netransparentní, mají vysoký podíl mimoburzovních transakcí a méně informací o emitentech. V praxi již manažeři portfolií s pevným výnosem aktivně vybírají dluhopisy s cílem sledovat index vzhledem k přirozeným vlastnostem trhu s pevným výnosem, ale jejich výběr může být relativně zjednodušený.</w:t>
      </w:r>
    </w:p>
    <w:p w14:paraId="0BF1CB22" w14:textId="77777777" w:rsidR="00493333" w:rsidRDefault="00493333" w:rsidP="00493333">
      <w:pPr>
        <w:shd w:val="clear" w:color="auto" w:fill="FFFFFF"/>
        <w:spacing w:after="220" w:line="352" w:lineRule="auto"/>
        <w:rPr>
          <w:color w:val="20242B"/>
        </w:rPr>
      </w:pPr>
      <w:r>
        <w:rPr>
          <w:color w:val="20242B"/>
        </w:rPr>
        <w:t xml:space="preserve">Naše strategie udržitelného fixního příjmu má za cíl generovat </w:t>
      </w:r>
      <w:proofErr w:type="spellStart"/>
      <w:r>
        <w:rPr>
          <w:color w:val="20242B"/>
        </w:rPr>
        <w:t>nadvýnos</w:t>
      </w:r>
      <w:proofErr w:type="spellEnd"/>
      <w:r>
        <w:rPr>
          <w:color w:val="20242B"/>
        </w:rPr>
        <w:t xml:space="preserve"> aktivním výběrem dluhopisů rozšířeným o </w:t>
      </w:r>
      <w:proofErr w:type="spellStart"/>
      <w:r>
        <w:rPr>
          <w:color w:val="20242B"/>
        </w:rPr>
        <w:t>vícefaktorový</w:t>
      </w:r>
      <w:proofErr w:type="spellEnd"/>
      <w:r>
        <w:rPr>
          <w:color w:val="20242B"/>
        </w:rPr>
        <w:t xml:space="preserve"> model a posouzení udržitelnosti z dílny týmů kvantitativního, fundamentálního a výzkumu udržitelnosti společnosti </w:t>
      </w:r>
      <w:proofErr w:type="spellStart"/>
      <w:r>
        <w:rPr>
          <w:color w:val="20242B"/>
        </w:rPr>
        <w:t>Fidelity</w:t>
      </w:r>
      <w:proofErr w:type="spellEnd"/>
      <w:r>
        <w:rPr>
          <w:color w:val="20242B"/>
        </w:rPr>
        <w:t>.</w:t>
      </w:r>
    </w:p>
    <w:p w14:paraId="08CEDE05" w14:textId="1F200688" w:rsidR="00493333" w:rsidRPr="00976040" w:rsidRDefault="00493333" w:rsidP="00493333">
      <w:pPr>
        <w:pStyle w:val="F2-zkladn"/>
        <w:rPr>
          <w:rFonts w:asciiTheme="minorHAnsi" w:hAnsiTheme="minorHAnsi" w:cstheme="minorHAnsi"/>
          <w:b/>
          <w:bCs/>
          <w:sz w:val="24"/>
          <w:szCs w:val="24"/>
        </w:rPr>
      </w:pPr>
      <w:r>
        <w:rPr>
          <w:rFonts w:asciiTheme="minorHAnsi" w:hAnsiTheme="minorHAnsi" w:cstheme="minorHAnsi"/>
          <w:b/>
          <w:bCs/>
          <w:sz w:val="24"/>
          <w:szCs w:val="24"/>
        </w:rPr>
        <w:t>Tematická ETF</w:t>
      </w:r>
    </w:p>
    <w:p w14:paraId="5F4A1F0A" w14:textId="1D77DB46" w:rsidR="00256118" w:rsidRDefault="00256118" w:rsidP="00256118">
      <w:pPr>
        <w:shd w:val="clear" w:color="auto" w:fill="FFFFFF"/>
        <w:spacing w:after="220" w:line="352" w:lineRule="auto"/>
        <w:rPr>
          <w:color w:val="20242B"/>
        </w:rPr>
      </w:pPr>
      <w:r>
        <w:rPr>
          <w:color w:val="20242B"/>
        </w:rPr>
        <w:t xml:space="preserve">Historicky bylo tematické investování </w:t>
      </w:r>
      <w:r w:rsidRPr="00C129D7">
        <w:t>–</w:t>
      </w:r>
      <w:r>
        <w:rPr>
          <w:color w:val="20242B"/>
        </w:rPr>
        <w:t xml:space="preserve"> zaměřené například na čistou energii, digitální zdraví nebo dopravu nové generace </w:t>
      </w:r>
      <w:r w:rsidRPr="00C129D7">
        <w:t>–</w:t>
      </w:r>
      <w:r>
        <w:rPr>
          <w:color w:val="20242B"/>
        </w:rPr>
        <w:t xml:space="preserve"> nabízeno pouze aktivními správci. Inovace ve způsobu konstrukce indexů a vývoj v oblasti dostupnosti dat a analytiky znamenaly, že tematické strategie mohou nyní nabízet transparentní, na výzkumu založená ETF.</w:t>
      </w:r>
    </w:p>
    <w:p w14:paraId="11E88C76" w14:textId="2F55BC9B" w:rsidR="00256118" w:rsidRDefault="00256118" w:rsidP="00256118">
      <w:pPr>
        <w:shd w:val="clear" w:color="auto" w:fill="FFFFFF"/>
        <w:spacing w:after="220" w:line="352" w:lineRule="auto"/>
        <w:rPr>
          <w:color w:val="20242B"/>
        </w:rPr>
      </w:pPr>
      <w:r>
        <w:rPr>
          <w:color w:val="20242B"/>
        </w:rPr>
        <w:t xml:space="preserve">Strategie tematických ETF společnosti </w:t>
      </w:r>
      <w:proofErr w:type="spellStart"/>
      <w:r>
        <w:rPr>
          <w:color w:val="20242B"/>
        </w:rPr>
        <w:t>Fidelity</w:t>
      </w:r>
      <w:proofErr w:type="spellEnd"/>
      <w:r>
        <w:rPr>
          <w:color w:val="20242B"/>
        </w:rPr>
        <w:t xml:space="preserve"> nabízí diferencované, tematické akciové investiční expozice spojené s dlouhodobými strukturálními trendy. Vedle našich základních výzkumných idejí se tato strategie opírá o naše vlastní hodnocení udržitelnosti, filtry kvality (navržené tak, aby identifikovaly dlouhodobou konkurenční výhodu) a skóre “relevance” </w:t>
      </w:r>
      <w:r w:rsidRPr="00C129D7">
        <w:t>–</w:t>
      </w:r>
      <w:r>
        <w:rPr>
          <w:color w:val="20242B"/>
        </w:rPr>
        <w:t xml:space="preserve"> vypočítané pomocí kombinace dat o tržbách a zpracování přirozeného jazyka.</w:t>
      </w:r>
      <w:r w:rsidRPr="00256118">
        <w:rPr>
          <w:color w:val="20242B"/>
        </w:rPr>
        <w:t xml:space="preserve"> (Zpracování přirozeného jazyka je podoblastí umělé inteligence a umožňuje počítačům zpracovávat a analyzovat velké množství dat v přirozeném jazyce, například ve zprávách a komentářích společností, s cílem identifikovat a vyhodnocovat konkrétní, předem stanovené atributy)</w:t>
      </w:r>
      <w:r>
        <w:rPr>
          <w:color w:val="20242B"/>
        </w:rPr>
        <w:t>.</w:t>
      </w:r>
    </w:p>
    <w:p w14:paraId="3B965E63" w14:textId="776FCDDE" w:rsidR="00906090" w:rsidRPr="00976040" w:rsidRDefault="00906090" w:rsidP="00906090">
      <w:pPr>
        <w:pStyle w:val="F2-zkladn"/>
        <w:rPr>
          <w:rFonts w:asciiTheme="minorHAnsi" w:hAnsiTheme="minorHAnsi" w:cstheme="minorHAnsi"/>
          <w:b/>
          <w:bCs/>
          <w:sz w:val="24"/>
          <w:szCs w:val="24"/>
        </w:rPr>
      </w:pPr>
      <w:r>
        <w:rPr>
          <w:rFonts w:asciiTheme="minorHAnsi" w:hAnsiTheme="minorHAnsi" w:cstheme="minorHAnsi"/>
          <w:b/>
          <w:bCs/>
          <w:sz w:val="24"/>
          <w:szCs w:val="24"/>
        </w:rPr>
        <w:t xml:space="preserve">To nejlepší z aktivních i pasivních strategií na nevyzpytatelném trhu </w:t>
      </w:r>
    </w:p>
    <w:p w14:paraId="1ACB21AD" w14:textId="77777777" w:rsidR="00906090" w:rsidRDefault="00906090" w:rsidP="00906090">
      <w:pPr>
        <w:shd w:val="clear" w:color="auto" w:fill="FFFFFF"/>
        <w:spacing w:after="220" w:line="352" w:lineRule="auto"/>
        <w:rPr>
          <w:color w:val="20242B"/>
        </w:rPr>
      </w:pPr>
      <w:r>
        <w:rPr>
          <w:color w:val="20242B"/>
        </w:rPr>
        <w:t>ETF založené na výzkumu se zaměřují na dosažení inkrementálního výnosu využitím vlastního výzkumu a kontrolou “</w:t>
      </w:r>
      <w:proofErr w:type="spellStart"/>
      <w:r>
        <w:rPr>
          <w:color w:val="20242B"/>
        </w:rPr>
        <w:t>tracking</w:t>
      </w:r>
      <w:proofErr w:type="spellEnd"/>
      <w:r>
        <w:rPr>
          <w:color w:val="20242B"/>
        </w:rPr>
        <w:t xml:space="preserve"> </w:t>
      </w:r>
      <w:proofErr w:type="spellStart"/>
      <w:r>
        <w:rPr>
          <w:color w:val="20242B"/>
        </w:rPr>
        <w:t>error</w:t>
      </w:r>
      <w:proofErr w:type="spellEnd"/>
      <w:r>
        <w:rPr>
          <w:color w:val="20242B"/>
        </w:rPr>
        <w:t>”.</w:t>
      </w:r>
    </w:p>
    <w:p w14:paraId="7440FA50" w14:textId="77777777" w:rsidR="00906090" w:rsidRDefault="00906090" w:rsidP="00906090">
      <w:pPr>
        <w:shd w:val="clear" w:color="auto" w:fill="FFFFFF"/>
        <w:spacing w:after="220" w:line="352" w:lineRule="auto"/>
        <w:rPr>
          <w:color w:val="20242B"/>
          <w:sz w:val="16"/>
          <w:szCs w:val="16"/>
        </w:rPr>
      </w:pPr>
      <w:r w:rsidRPr="00906090">
        <w:rPr>
          <w:i/>
          <w:iCs/>
          <w:noProof/>
          <w:color w:val="20242B"/>
        </w:rPr>
        <w:lastRenderedPageBreak/>
        <w:drawing>
          <wp:anchor distT="0" distB="0" distL="114300" distR="114300" simplePos="0" relativeHeight="251658240" behindDoc="0" locked="0" layoutInCell="1" allowOverlap="1" wp14:anchorId="63F552B7" wp14:editId="52317C34">
            <wp:simplePos x="0" y="0"/>
            <wp:positionH relativeFrom="column">
              <wp:posOffset>-123190</wp:posOffset>
            </wp:positionH>
            <wp:positionV relativeFrom="paragraph">
              <wp:posOffset>0</wp:posOffset>
            </wp:positionV>
            <wp:extent cx="3796665" cy="3099621"/>
            <wp:effectExtent l="0" t="0" r="0" b="5715"/>
            <wp:wrapTopAndBottom/>
            <wp:docPr id="118769576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a:xfrm>
                      <a:off x="0" y="0"/>
                      <a:ext cx="3796665" cy="3099621"/>
                    </a:xfrm>
                    <a:prstGeom prst="rect">
                      <a:avLst/>
                    </a:prstGeom>
                    <a:ln/>
                  </pic:spPr>
                </pic:pic>
              </a:graphicData>
            </a:graphic>
          </wp:anchor>
        </w:drawing>
      </w:r>
      <w:r w:rsidRPr="00906090">
        <w:rPr>
          <w:i/>
          <w:iCs/>
          <w:color w:val="20242B"/>
        </w:rPr>
        <w:t>Pouze pro ilustraci. Měřítko je pouze orientační.</w:t>
      </w:r>
      <w:r>
        <w:rPr>
          <w:i/>
          <w:iCs/>
          <w:color w:val="20242B"/>
        </w:rPr>
        <w:t xml:space="preserve"> </w:t>
      </w:r>
      <w:r w:rsidRPr="00906090">
        <w:rPr>
          <w:i/>
          <w:iCs/>
          <w:color w:val="20242B"/>
        </w:rPr>
        <w:t xml:space="preserve">Zdroj: </w:t>
      </w:r>
      <w:proofErr w:type="spellStart"/>
      <w:r w:rsidRPr="00906090">
        <w:rPr>
          <w:i/>
          <w:iCs/>
          <w:color w:val="20242B"/>
        </w:rPr>
        <w:t>Fidelity</w:t>
      </w:r>
      <w:proofErr w:type="spellEnd"/>
      <w:r w:rsidRPr="00906090">
        <w:rPr>
          <w:i/>
          <w:iCs/>
          <w:color w:val="20242B"/>
        </w:rPr>
        <w:t xml:space="preserve"> International, 2024.</w:t>
      </w:r>
    </w:p>
    <w:p w14:paraId="2409195C" w14:textId="4D746E88" w:rsidR="00906090" w:rsidRPr="00976040" w:rsidRDefault="00906090" w:rsidP="00906090">
      <w:pPr>
        <w:pStyle w:val="F2-zkladn"/>
        <w:rPr>
          <w:rFonts w:asciiTheme="minorHAnsi" w:hAnsiTheme="minorHAnsi" w:cstheme="minorHAnsi"/>
          <w:b/>
          <w:bCs/>
          <w:sz w:val="24"/>
          <w:szCs w:val="24"/>
        </w:rPr>
      </w:pPr>
      <w:r>
        <w:rPr>
          <w:rFonts w:asciiTheme="minorHAnsi" w:hAnsiTheme="minorHAnsi" w:cstheme="minorHAnsi"/>
          <w:b/>
          <w:bCs/>
          <w:sz w:val="24"/>
          <w:szCs w:val="24"/>
        </w:rPr>
        <w:t>Stavební prvky portfolia nové generace pro náročnější a nevyzpytatelné tržní prostředí v roce 2024 a dalších letech:</w:t>
      </w:r>
    </w:p>
    <w:p w14:paraId="3D7C84B2" w14:textId="77777777" w:rsidR="00906090" w:rsidRDefault="00906090" w:rsidP="00906090">
      <w:pPr>
        <w:shd w:val="clear" w:color="auto" w:fill="FFFFFF"/>
        <w:spacing w:after="220" w:line="352" w:lineRule="auto"/>
        <w:rPr>
          <w:color w:val="20242B"/>
        </w:rPr>
      </w:pPr>
      <w:r>
        <w:rPr>
          <w:color w:val="20242B"/>
        </w:rPr>
        <w:t>Dnešní investoři často poukazují na značnou komplexitu investování a nejistotu s tím spojenou. V tomto kontextu pozorujeme zájem investorů o výzkumná ETF:</w:t>
      </w:r>
    </w:p>
    <w:p w14:paraId="20F46A14" w14:textId="77777777" w:rsidR="00906090" w:rsidRDefault="00906090" w:rsidP="00906090">
      <w:pPr>
        <w:numPr>
          <w:ilvl w:val="0"/>
          <w:numId w:val="39"/>
        </w:numPr>
        <w:shd w:val="clear" w:color="auto" w:fill="FFFFFF"/>
        <w:spacing w:before="0" w:line="352" w:lineRule="auto"/>
        <w:jc w:val="left"/>
        <w:rPr>
          <w:color w:val="20242B"/>
        </w:rPr>
      </w:pPr>
      <w:r>
        <w:rPr>
          <w:color w:val="20242B"/>
        </w:rPr>
        <w:t>jako náhrada za standardní akciová indexová aktiva v rámci portfolií zaměřených na výnos i pro standardní portfolia s pevným výnosem;</w:t>
      </w:r>
    </w:p>
    <w:p w14:paraId="5B964E71" w14:textId="77777777" w:rsidR="00906090" w:rsidRDefault="00906090" w:rsidP="00906090">
      <w:pPr>
        <w:numPr>
          <w:ilvl w:val="0"/>
          <w:numId w:val="39"/>
        </w:numPr>
        <w:shd w:val="clear" w:color="auto" w:fill="FFFFFF"/>
        <w:spacing w:before="0" w:line="352" w:lineRule="auto"/>
        <w:jc w:val="left"/>
        <w:rPr>
          <w:color w:val="20242B"/>
        </w:rPr>
      </w:pPr>
      <w:r>
        <w:rPr>
          <w:color w:val="20242B"/>
        </w:rPr>
        <w:t>jako stavební prvky strategií ESG nebo</w:t>
      </w:r>
    </w:p>
    <w:p w14:paraId="304C2256" w14:textId="77777777" w:rsidR="00906090" w:rsidRPr="00906090" w:rsidRDefault="00906090" w:rsidP="00906090">
      <w:pPr>
        <w:numPr>
          <w:ilvl w:val="0"/>
          <w:numId w:val="39"/>
        </w:numPr>
        <w:spacing w:before="0" w:line="276" w:lineRule="auto"/>
        <w:jc w:val="left"/>
        <w:rPr>
          <w:color w:val="20242B"/>
        </w:rPr>
      </w:pPr>
      <w:r>
        <w:rPr>
          <w:color w:val="20242B"/>
        </w:rPr>
        <w:t>jako součást speciálních taktických strategií investujících do nejzajímavějších investičních témat.</w:t>
      </w:r>
    </w:p>
    <w:p w14:paraId="3276D565" w14:textId="77777777" w:rsidR="00906090" w:rsidRDefault="00906090" w:rsidP="00906090">
      <w:pPr>
        <w:shd w:val="clear" w:color="auto" w:fill="FFFFFF"/>
        <w:spacing w:after="220" w:line="352" w:lineRule="auto"/>
        <w:rPr>
          <w:color w:val="20242B"/>
        </w:rPr>
      </w:pPr>
      <w:r w:rsidRPr="00906090">
        <w:rPr>
          <w:color w:val="20242B"/>
        </w:rPr>
        <w:t>Jsme přesvědčeni, že klienti oceňují také naši schopnost řešit holisticky specifické potřeby klientů, například tím, že jsme schopni jednotlivé stavební bloky ETF založených na výzkumu zkombinovat se stávajícími složkami klientských portfolií v různých tržních případech.</w:t>
      </w:r>
    </w:p>
    <w:p w14:paraId="3D97C93C" w14:textId="77777777" w:rsidR="00906090" w:rsidRDefault="00906090" w:rsidP="00906090">
      <w:pPr>
        <w:shd w:val="clear" w:color="auto" w:fill="FFFFFF"/>
        <w:spacing w:after="220" w:line="352" w:lineRule="auto"/>
        <w:rPr>
          <w:color w:val="20242B"/>
        </w:rPr>
      </w:pPr>
      <w:r>
        <w:rPr>
          <w:color w:val="20242B"/>
        </w:rPr>
        <w:t>Vzhledem k tomu, že se zdá, že náročné tržní prostředí s mnoha možnými scénáři vývoje bude panovat i nadále, vidíme potenciál pro rychlejší rozšíření ETF založených na výzkumu. Investoři raději sáhnou po širší a diferencovanější paletě ETF nové generace, která je lépe provede současnými výzvami i příležitostmi.</w:t>
      </w:r>
    </w:p>
    <w:p w14:paraId="3836362B" w14:textId="77777777" w:rsidR="00906090" w:rsidRPr="00906090" w:rsidRDefault="00906090" w:rsidP="00906090">
      <w:pPr>
        <w:pStyle w:val="F2-zkladn"/>
      </w:pPr>
    </w:p>
    <w:p w14:paraId="21E249BA" w14:textId="7BCFC3DF" w:rsidR="00906090" w:rsidRDefault="00906090" w:rsidP="00906090">
      <w:pPr>
        <w:shd w:val="clear" w:color="auto" w:fill="FFFFFF"/>
        <w:spacing w:after="220" w:line="352" w:lineRule="auto"/>
        <w:rPr>
          <w:i/>
          <w:iCs/>
          <w:color w:val="20242B"/>
        </w:rPr>
      </w:pPr>
    </w:p>
    <w:p w14:paraId="537B1514" w14:textId="77777777" w:rsidR="00906090" w:rsidRPr="00906090" w:rsidRDefault="00906090" w:rsidP="00906090">
      <w:pPr>
        <w:pStyle w:val="F2-zkladn"/>
      </w:pPr>
    </w:p>
    <w:p w14:paraId="6E73110D" w14:textId="6BD4C3DA" w:rsidR="00906090" w:rsidRPr="00906090" w:rsidRDefault="00906090" w:rsidP="00906090">
      <w:pPr>
        <w:pStyle w:val="F2-zkladn"/>
      </w:pPr>
    </w:p>
    <w:p w14:paraId="15FFB6B3" w14:textId="77777777" w:rsidR="00256118" w:rsidRPr="00256118" w:rsidRDefault="00256118" w:rsidP="00256118">
      <w:pPr>
        <w:pStyle w:val="F2-zkladn"/>
      </w:pPr>
    </w:p>
    <w:p w14:paraId="0A7DB654" w14:textId="77777777" w:rsidR="00493333" w:rsidRPr="00493333" w:rsidRDefault="00493333" w:rsidP="00493333">
      <w:pPr>
        <w:pStyle w:val="F2-zkladn"/>
      </w:pPr>
    </w:p>
    <w:p w14:paraId="71193D05" w14:textId="77777777" w:rsidR="001C6F31" w:rsidRPr="001C6F31" w:rsidRDefault="001C6F31" w:rsidP="001C6F31">
      <w:pPr>
        <w:pStyle w:val="F2-zkladn"/>
      </w:pPr>
    </w:p>
    <w:p w14:paraId="52CB6237" w14:textId="77777777" w:rsidR="004A3533" w:rsidRPr="004A3533" w:rsidRDefault="004A3533" w:rsidP="004A3533">
      <w:pPr>
        <w:pStyle w:val="F2-zkladn"/>
      </w:pPr>
    </w:p>
    <w:p w14:paraId="3B45AF67" w14:textId="4C4B1E7F" w:rsidR="00725052" w:rsidRPr="00627C23" w:rsidRDefault="00725052" w:rsidP="00627C23">
      <w:pPr>
        <w:spacing w:before="0" w:line="240" w:lineRule="atLeast"/>
        <w:rPr>
          <w:color w:val="000000" w:themeColor="text1"/>
        </w:rPr>
      </w:pPr>
      <w:r w:rsidRPr="00455A3C">
        <w:rPr>
          <w:b/>
        </w:rPr>
        <w:t>Pro více informací kontaktujte:</w:t>
      </w:r>
    </w:p>
    <w:p w14:paraId="7B66DFDA" w14:textId="77777777" w:rsidR="00725052" w:rsidRDefault="00725052" w:rsidP="002027ED">
      <w:pPr>
        <w:spacing w:before="0" w:line="240" w:lineRule="atLeast"/>
        <w:rPr>
          <w:b/>
        </w:rPr>
      </w:pPr>
      <w:r>
        <w:rPr>
          <w:b/>
        </w:rPr>
        <w:t>Eliška Krohová</w:t>
      </w:r>
    </w:p>
    <w:p w14:paraId="34A69B71" w14:textId="77777777" w:rsidR="00725052" w:rsidRPr="00455A3C" w:rsidRDefault="00725052" w:rsidP="002027ED">
      <w:pPr>
        <w:spacing w:before="0" w:line="240" w:lineRule="atLeast"/>
        <w:rPr>
          <w:b/>
          <w:bCs/>
        </w:rPr>
      </w:pPr>
      <w:proofErr w:type="spellStart"/>
      <w:r w:rsidRPr="00455A3C">
        <w:rPr>
          <w:b/>
          <w:bCs/>
        </w:rPr>
        <w:t>Crest</w:t>
      </w:r>
      <w:proofErr w:type="spellEnd"/>
      <w:r w:rsidRPr="00455A3C">
        <w:rPr>
          <w:b/>
          <w:bCs/>
        </w:rPr>
        <w:t xml:space="preserve"> Communications, a.s.</w:t>
      </w:r>
    </w:p>
    <w:p w14:paraId="76A61198" w14:textId="77777777" w:rsidR="00725052" w:rsidRPr="00455A3C" w:rsidRDefault="00725052" w:rsidP="002027ED">
      <w:pPr>
        <w:spacing w:before="0" w:line="240" w:lineRule="atLeast"/>
      </w:pPr>
    </w:p>
    <w:p w14:paraId="5BFDE25D" w14:textId="77777777" w:rsidR="00725052" w:rsidRPr="00455A3C" w:rsidRDefault="00725052" w:rsidP="002027ED">
      <w:pPr>
        <w:spacing w:before="0" w:line="240" w:lineRule="atLeast"/>
      </w:pPr>
      <w:r w:rsidRPr="00455A3C">
        <w:t>Ostrovní 126/30</w:t>
      </w:r>
    </w:p>
    <w:p w14:paraId="35E1E439" w14:textId="77777777" w:rsidR="00725052" w:rsidRPr="00455A3C" w:rsidRDefault="00725052" w:rsidP="002027ED">
      <w:pPr>
        <w:spacing w:before="0" w:line="240" w:lineRule="atLeast"/>
      </w:pPr>
      <w:r w:rsidRPr="00455A3C">
        <w:t>110 00 Praha 1</w:t>
      </w:r>
    </w:p>
    <w:p w14:paraId="35FD41C3" w14:textId="77777777" w:rsidR="00725052" w:rsidRPr="00455A3C" w:rsidRDefault="00725052" w:rsidP="002027ED">
      <w:pPr>
        <w:spacing w:before="0" w:line="240" w:lineRule="atLeast"/>
      </w:pPr>
      <w:proofErr w:type="spellStart"/>
      <w:r>
        <w:t>gsm</w:t>
      </w:r>
      <w:proofErr w:type="spellEnd"/>
      <w:r>
        <w:t>: + 420 720 406 659</w:t>
      </w:r>
    </w:p>
    <w:p w14:paraId="4FD0B4A0" w14:textId="77777777" w:rsidR="000E2910" w:rsidRDefault="00725052" w:rsidP="002027ED">
      <w:pPr>
        <w:spacing w:before="0" w:line="240" w:lineRule="atLeast"/>
        <w:rPr>
          <w:rStyle w:val="Hypertextovodkaz"/>
        </w:rPr>
      </w:pPr>
      <w:r w:rsidRPr="00455A3C">
        <w:rPr>
          <w:color w:val="000000"/>
        </w:rPr>
        <w:t xml:space="preserve">e-mail: </w:t>
      </w:r>
      <w:hyperlink r:id="rId14" w:history="1">
        <w:r w:rsidRPr="00E23FD4">
          <w:rPr>
            <w:rStyle w:val="Hypertextovodkaz"/>
          </w:rPr>
          <w:t>eliska.krohova@crestcom.cz</w:t>
        </w:r>
      </w:hyperlink>
    </w:p>
    <w:p w14:paraId="14AE2F5A" w14:textId="77777777" w:rsidR="005A5AB1" w:rsidRPr="005A5AB1" w:rsidRDefault="005A5AB1" w:rsidP="002027ED">
      <w:pPr>
        <w:pStyle w:val="F2-zkladn"/>
      </w:pPr>
    </w:p>
    <w:p w14:paraId="795B3F46" w14:textId="77777777" w:rsidR="00D404D5" w:rsidRPr="00D404D5" w:rsidRDefault="00D404D5" w:rsidP="002027ED">
      <w:pPr>
        <w:shd w:val="clear" w:color="auto" w:fill="FFFFFF"/>
        <w:spacing w:before="0" w:line="360" w:lineRule="atLeast"/>
        <w:rPr>
          <w:b/>
          <w:bCs/>
        </w:rPr>
      </w:pPr>
      <w:r w:rsidRPr="00D404D5">
        <w:rPr>
          <w:b/>
          <w:bCs/>
        </w:rPr>
        <w:t>Informace pro editory:</w:t>
      </w:r>
    </w:p>
    <w:p w14:paraId="4597FFEE" w14:textId="4A5600C6" w:rsidR="00DF09B1" w:rsidRDefault="00D404D5" w:rsidP="00292EC0">
      <w:pPr>
        <w:shd w:val="clear" w:color="auto" w:fill="FFFFFF"/>
        <w:spacing w:before="0" w:line="360" w:lineRule="atLeast"/>
        <w:rPr>
          <w:color w:val="000000"/>
          <w:lang w:eastAsia="en-US"/>
        </w:rPr>
      </w:pPr>
      <w:proofErr w:type="spellStart"/>
      <w:r w:rsidRPr="00D404D5">
        <w:rPr>
          <w:b/>
          <w:bCs/>
        </w:rPr>
        <w:t>Fidelity</w:t>
      </w:r>
      <w:proofErr w:type="spellEnd"/>
      <w:r w:rsidRPr="00D404D5">
        <w:rPr>
          <w:b/>
          <w:bCs/>
        </w:rPr>
        <w:t xml:space="preserve"> International </w:t>
      </w:r>
      <w:r w:rsidRPr="00D404D5">
        <w:rPr>
          <w:color w:val="000000"/>
          <w:lang w:eastAsia="en-US"/>
        </w:rPr>
        <w:t>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Hongkongu, Tokiu, Singapuru, Soulu, Dillí, Bombaji a v Sydney. V současné době administruje aktiva ve výši 87 mld. USD (</w:t>
      </w:r>
      <w:proofErr w:type="spellStart"/>
      <w:r w:rsidRPr="00D404D5">
        <w:rPr>
          <w:color w:val="000000"/>
          <w:lang w:eastAsia="en-US"/>
        </w:rPr>
        <w:t>assets</w:t>
      </w:r>
      <w:proofErr w:type="spellEnd"/>
      <w:r w:rsidRPr="00D404D5">
        <w:rPr>
          <w:color w:val="000000"/>
          <w:lang w:eastAsia="en-US"/>
        </w:rPr>
        <w:t xml:space="preserve"> </w:t>
      </w:r>
      <w:proofErr w:type="spellStart"/>
      <w:r w:rsidRPr="00D404D5">
        <w:rPr>
          <w:color w:val="000000"/>
          <w:lang w:eastAsia="en-US"/>
        </w:rPr>
        <w:t>under</w:t>
      </w:r>
      <w:proofErr w:type="spellEnd"/>
      <w:r w:rsidRPr="00D404D5">
        <w:rPr>
          <w:color w:val="000000"/>
          <w:lang w:eastAsia="en-US"/>
        </w:rPr>
        <w:t xml:space="preserve"> </w:t>
      </w:r>
      <w:proofErr w:type="spellStart"/>
      <w:r w:rsidRPr="00D404D5">
        <w:rPr>
          <w:color w:val="000000"/>
          <w:lang w:eastAsia="en-US"/>
        </w:rPr>
        <w:t>administration</w:t>
      </w:r>
      <w:proofErr w:type="spellEnd"/>
      <w:r w:rsidRPr="00D404D5">
        <w:rPr>
          <w:color w:val="000000"/>
          <w:lang w:eastAsia="en-US"/>
        </w:rPr>
        <w:t xml:space="preserve">) a globálně pro klienty investovala 290 mld. USD ve 25 zemích napříč Evropou, Asií, Tichomořím, středním Východem a jižní Amerikou. V České republice </w:t>
      </w:r>
      <w:proofErr w:type="spellStart"/>
      <w:r w:rsidRPr="00D404D5">
        <w:rPr>
          <w:color w:val="000000"/>
          <w:lang w:eastAsia="en-US"/>
        </w:rPr>
        <w:t>Fidelity</w:t>
      </w:r>
      <w:proofErr w:type="spellEnd"/>
      <w:r w:rsidRPr="00D404D5">
        <w:rPr>
          <w:color w:val="000000"/>
          <w:lang w:eastAsia="en-US"/>
        </w:rPr>
        <w:t xml:space="preserve">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w:t>
      </w:r>
    </w:p>
    <w:p w14:paraId="613BB0D6" w14:textId="77777777" w:rsidR="006E78BA" w:rsidRDefault="006E78BA" w:rsidP="006E78BA">
      <w:pPr>
        <w:pStyle w:val="F2-zkladn"/>
        <w:rPr>
          <w:lang w:eastAsia="en-US"/>
        </w:rPr>
      </w:pPr>
    </w:p>
    <w:p w14:paraId="61513033" w14:textId="77777777" w:rsidR="006E78BA" w:rsidRPr="006E78BA" w:rsidRDefault="006E78BA" w:rsidP="006E78BA">
      <w:pPr>
        <w:pStyle w:val="F2-zkladn"/>
        <w:rPr>
          <w:lang w:eastAsia="en-US"/>
        </w:rPr>
      </w:pPr>
    </w:p>
    <w:p w14:paraId="129A4442" w14:textId="6F4B9217" w:rsidR="00424771" w:rsidRPr="00424771" w:rsidRDefault="00424771" w:rsidP="002027ED">
      <w:pPr>
        <w:pStyle w:val="F2-zkladn"/>
        <w:rPr>
          <w:b/>
          <w:bCs/>
        </w:rPr>
      </w:pPr>
      <w:r w:rsidRPr="00424771">
        <w:rPr>
          <w:b/>
          <w:bCs/>
        </w:rPr>
        <w:t>Důležité upozornění</w:t>
      </w:r>
    </w:p>
    <w:p w14:paraId="433960A8" w14:textId="77777777" w:rsidR="00424771" w:rsidRDefault="00424771" w:rsidP="002027ED">
      <w:pPr>
        <w:pStyle w:val="F2-zkladn"/>
      </w:pPr>
      <w:r>
        <w:t>Toto je propagační materiál. Tento dokument nesmí být bez předchozího souhlasu rozmnožován nebo rozšiřován.</w:t>
      </w:r>
    </w:p>
    <w:p w14:paraId="0B3DEE37" w14:textId="77777777" w:rsidR="00424771" w:rsidRDefault="00424771" w:rsidP="002027ED">
      <w:pPr>
        <w:pStyle w:val="F2-zkladn"/>
      </w:pPr>
      <w:proofErr w:type="spellStart"/>
      <w:r>
        <w:t>Fidelity</w:t>
      </w:r>
      <w:proofErr w:type="spellEnd"/>
      <w:r>
        <w:t xml:space="preserve"> International poskytuje informace pouze o svých produktech a neposkytuje investiční poradenství na základě individuálních potřeb, jinak než konkrétně řádně stanovené oprávněnou společností při formální komunikaci s klientem.</w:t>
      </w:r>
    </w:p>
    <w:p w14:paraId="61E87E02" w14:textId="77777777" w:rsidR="00424771" w:rsidRDefault="00424771" w:rsidP="002027ED">
      <w:pPr>
        <w:pStyle w:val="F2-zkladn"/>
      </w:pPr>
      <w:r>
        <w:t xml:space="preserve">Jako </w:t>
      </w:r>
      <w:proofErr w:type="spellStart"/>
      <w:r>
        <w:t>Fidelity</w:t>
      </w:r>
      <w:proofErr w:type="spellEnd"/>
      <w:r>
        <w:t xml:space="preserve"> International je označována skupina společností, které tvoří globální organizaci správy investic poskytující informace o produktech a službách v určených jurisdikcích mimo Severní Ameriku. </w:t>
      </w:r>
      <w:r>
        <w:lastRenderedPageBreak/>
        <w:t>Toto písemné sdělení není směřováno k osobám se sídlem ve Spojených státech a takové osoby nesmí podle něj jednat. Je určeno pouze osobám bytem v takové v soudní příslušnosti, kde jsou příslušné fondy povoleny k distribuci nebo tam, kde není takové povolení vyžadováno.</w:t>
      </w:r>
    </w:p>
    <w:p w14:paraId="2F36FE40" w14:textId="77777777" w:rsidR="00424771" w:rsidRDefault="00424771" w:rsidP="002027ED">
      <w:pPr>
        <w:pStyle w:val="F2-zkladn"/>
      </w:pPr>
      <w:r>
        <w:t xml:space="preserve">Všechny názory představují stanoviska společnosti </w:t>
      </w:r>
      <w:proofErr w:type="spellStart"/>
      <w:r>
        <w:t>Fidelity</w:t>
      </w:r>
      <w:proofErr w:type="spellEnd"/>
      <w:r>
        <w:t xml:space="preserve">, není-li uvedeno jinak. </w:t>
      </w:r>
      <w:proofErr w:type="spellStart"/>
      <w:r>
        <w:t>Fidelity</w:t>
      </w:r>
      <w:proofErr w:type="spellEnd"/>
      <w:r>
        <w:t xml:space="preserve">, </w:t>
      </w:r>
      <w:proofErr w:type="spellStart"/>
      <w:r>
        <w:t>Fidelity</w:t>
      </w:r>
      <w:proofErr w:type="spellEnd"/>
      <w:r>
        <w:t xml:space="preserve"> International a logo </w:t>
      </w:r>
      <w:proofErr w:type="spellStart"/>
      <w:r>
        <w:t>Fidelity</w:t>
      </w:r>
      <w:proofErr w:type="spellEnd"/>
      <w:r>
        <w:t xml:space="preserve"> International a symbol měny F jsou všechno ochrannými známkami společnosti FIL Limited.</w:t>
      </w:r>
    </w:p>
    <w:p w14:paraId="6BC4A9D3" w14:textId="77777777" w:rsidR="00424771" w:rsidRDefault="00424771" w:rsidP="002027ED">
      <w:pPr>
        <w:pStyle w:val="F2-zkladn"/>
      </w:pPr>
      <w:r>
        <w:t xml:space="preserve">Tento dokument nepředstavuje distribuci, nabídku nebo výzvu k využití služeb investiční správy společnosti </w:t>
      </w:r>
      <w:proofErr w:type="spellStart"/>
      <w:r>
        <w:t>Fidelity</w:t>
      </w:r>
      <w:proofErr w:type="spellEnd"/>
      <w:r>
        <w:t>, ani nabídku ke koupi, prodeji nebo výzvu k nabídce ke koupi nebo prodeji jakýchkoli cenných papírů v jakékoli jurisdikci nebo zemi, kde taková distribuce nebo nabídka není povolena či by byla v rozporu s místními zákony nebo předpisy.</w:t>
      </w:r>
    </w:p>
    <w:p w14:paraId="72B3F5EA" w14:textId="77777777" w:rsidR="00424771" w:rsidRDefault="00424771" w:rsidP="002027ED">
      <w:pPr>
        <w:pStyle w:val="F2-zkladn"/>
      </w:pPr>
      <w:r>
        <w:t xml:space="preserve">Odkazy v tomto dokumentu na konkrétní cenné papíry nelze vykládat jako doporučení ke koupi nebo prodeji těchto cenných papírů, ale jsou uvedeny pouze pro ilustraci. Investoři by rovněž měli vzít na vědomí, že vyjádřené názory již nemusí být aktuální a společnost </w:t>
      </w:r>
      <w:proofErr w:type="spellStart"/>
      <w:r>
        <w:t>Fidelity</w:t>
      </w:r>
      <w:proofErr w:type="spellEnd"/>
      <w:r>
        <w:t xml:space="preserve"> již mohla jednat. Průzkumy a analýzy použité v této dokumentaci shromažďuje společnost </w:t>
      </w:r>
      <w:proofErr w:type="spellStart"/>
      <w:r>
        <w:t>Fidelity</w:t>
      </w:r>
      <w:proofErr w:type="spellEnd"/>
      <w:r>
        <w:t xml:space="preserve"> pro své potřeby správce investic a je možné, že podle nich již bylo postupováno pro její vlastní účely. Tento materiál byl vytvořen společností </w:t>
      </w:r>
      <w:proofErr w:type="spellStart"/>
      <w:r>
        <w:t>Fidelity</w:t>
      </w:r>
      <w:proofErr w:type="spellEnd"/>
      <w:r>
        <w:t xml:space="preserve"> International.</w:t>
      </w:r>
    </w:p>
    <w:p w14:paraId="7CEE125B" w14:textId="77777777" w:rsidR="00424771" w:rsidRDefault="00424771" w:rsidP="002027ED">
      <w:pPr>
        <w:pStyle w:val="F2-zkladn"/>
      </w:pPr>
      <w:r>
        <w:t>Minulá výkonnost není spolehlivým ukazatelem budoucích výsledků.</w:t>
      </w:r>
    </w:p>
    <w:p w14:paraId="5443331B" w14:textId="77777777" w:rsidR="00424771" w:rsidRDefault="00424771" w:rsidP="002027ED">
      <w:pPr>
        <w:pStyle w:val="F2-zkladn"/>
      </w:pPr>
      <w:r>
        <w:t xml:space="preserve">Tento dokument může obsahovat materiály třetích stran, které jsou dodávány společnostmi, jež nejsou spojeny s žádným subjektem </w:t>
      </w:r>
      <w:proofErr w:type="spellStart"/>
      <w:r>
        <w:t>Fidelity</w:t>
      </w:r>
      <w:proofErr w:type="spellEnd"/>
      <w:r>
        <w:t xml:space="preserve"> (obsah třetích stran). Společnost </w:t>
      </w:r>
      <w:proofErr w:type="spellStart"/>
      <w:r>
        <w:t>Fidelity</w:t>
      </w:r>
      <w:proofErr w:type="spellEnd"/>
      <w:r>
        <w:t xml:space="preserve"> se nepodílela na přípravě, přijetí ani úpravě takových materiálů třetích stran a výslovně ani implicitně takový obsah neschvaluje ani nepodporovala.</w:t>
      </w:r>
    </w:p>
    <w:p w14:paraId="310C6B00" w14:textId="77777777" w:rsidR="00424771" w:rsidRDefault="00424771" w:rsidP="002027ED">
      <w:pPr>
        <w:pStyle w:val="F2-zkladn"/>
      </w:pPr>
      <w:r>
        <w:t xml:space="preserve">Údaje nejsou auditované. Odborníci provádějící průzkum zahrnují společníky a analytiky. Doporučujeme, abyste si před uskutečněním jakéhokoli investičního rozhodnutí opatřili podrobné informace. Investice by měly být prováděny na základě aktuálního prospektu (v angličtině a češtině) a dokumentu KIID (Klíčové informace pro investory) - dostupný v angličtině a češtině, které jsou dostupné spolu s výročními a pololetními zprávami zdarma na https://www.fidelityinternational.com nebo od našich </w:t>
      </w:r>
      <w:proofErr w:type="spellStart"/>
      <w:r>
        <w:t>distributořů</w:t>
      </w:r>
      <w:proofErr w:type="spellEnd"/>
      <w:r>
        <w:t xml:space="preserve"> a našeho evropského Centra služeb v Lucembursku, sídlící na adrese FIL (</w:t>
      </w:r>
      <w:proofErr w:type="spellStart"/>
      <w:r>
        <w:t>Luxembourg</w:t>
      </w:r>
      <w:proofErr w:type="spellEnd"/>
      <w:r>
        <w:t xml:space="preserve">) S.A. </w:t>
      </w:r>
      <w:proofErr w:type="gramStart"/>
      <w:r>
        <w:t>2a</w:t>
      </w:r>
      <w:proofErr w:type="gramEnd"/>
      <w:r>
        <w:t xml:space="preserve">, </w:t>
      </w:r>
      <w:proofErr w:type="spellStart"/>
      <w:r>
        <w:t>rue</w:t>
      </w:r>
      <w:proofErr w:type="spellEnd"/>
      <w:r>
        <w:t xml:space="preserve"> Albert </w:t>
      </w:r>
      <w:proofErr w:type="spellStart"/>
      <w:r>
        <w:t>Borschette</w:t>
      </w:r>
      <w:proofErr w:type="spellEnd"/>
      <w:r>
        <w:t xml:space="preserve"> BP 2174 L-1021 </w:t>
      </w:r>
      <w:proofErr w:type="spellStart"/>
      <w:r>
        <w:t>Luxembourg</w:t>
      </w:r>
      <w:proofErr w:type="spellEnd"/>
      <w:r>
        <w:t>.</w:t>
      </w:r>
    </w:p>
    <w:p w14:paraId="4471B0D2" w14:textId="77777777" w:rsidR="00424771" w:rsidRDefault="00424771" w:rsidP="002027ED">
      <w:pPr>
        <w:pStyle w:val="F2-zkladn"/>
      </w:pPr>
      <w:proofErr w:type="spellStart"/>
      <w:r>
        <w:t>Fidelity</w:t>
      </w:r>
      <w:proofErr w:type="spellEnd"/>
      <w:r>
        <w:t xml:space="preserve"> </w:t>
      </w:r>
      <w:proofErr w:type="spellStart"/>
      <w:r>
        <w:t>Funds</w:t>
      </w:r>
      <w:proofErr w:type="spellEnd"/>
      <w:r>
        <w:t xml:space="preserve"> "FF" je otevřená investiční společnost (SKIPCP) sídlící v Lucembursku, která disponuje akciemi různých tříd. Společnost FIL </w:t>
      </w:r>
      <w:proofErr w:type="spellStart"/>
      <w:r>
        <w:t>Investment</w:t>
      </w:r>
      <w:proofErr w:type="spellEnd"/>
      <w:r>
        <w:t xml:space="preserve"> Management (</w:t>
      </w:r>
      <w:proofErr w:type="spellStart"/>
      <w:r>
        <w:t>Luxembourg</w:t>
      </w:r>
      <w:proofErr w:type="spellEnd"/>
      <w:r>
        <w:t xml:space="preserve">) S.A. si vyhrazuje právo ukončit nabízení podfondu a jeho podílových jednotek na trhu v souladu s článkem 93 písm. a) směrnice 2009/65/ES a článkem 32 písm. a) směrnice 2011/61/EU. Toto ukončení bude předem oznámeno v </w:t>
      </w:r>
      <w:proofErr w:type="spellStart"/>
      <w:r>
        <w:t>Lucembursku.Obchodní</w:t>
      </w:r>
      <w:proofErr w:type="spellEnd"/>
      <w:r>
        <w:t xml:space="preserve"> známky třetích stran, autorská práva a další práva duševního vlastnictví zůstávají majetkem jejich konkrétních vlastníků.</w:t>
      </w:r>
    </w:p>
    <w:p w14:paraId="58994F9D" w14:textId="43A40708" w:rsidR="00424771" w:rsidRDefault="00424771" w:rsidP="002027ED">
      <w:pPr>
        <w:pStyle w:val="F2-zkladn"/>
      </w:pPr>
      <w:r>
        <w:t>Investoři a potenciální investoři mohou získat informace o svých právech ve spojení se stížnostmi a soudními spory na tomto odkazu: https://www.fidelity.cz (v češtině).</w:t>
      </w:r>
    </w:p>
    <w:p w14:paraId="77A9E114" w14:textId="47F752E9" w:rsidR="007B45EC" w:rsidRDefault="00D4162D" w:rsidP="002027ED">
      <w:pPr>
        <w:pStyle w:val="F2-zkladn"/>
      </w:pPr>
      <w:r w:rsidRPr="00D4162D">
        <w:t>MKAT12051</w:t>
      </w:r>
    </w:p>
    <w:sectPr w:rsidR="007B45EC" w:rsidSect="007874FB">
      <w:headerReference w:type="default" r:id="rId15"/>
      <w:footerReference w:type="default" r:id="rId16"/>
      <w:headerReference w:type="first" r:id="rId17"/>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751426" w14:textId="77777777" w:rsidR="007874FB" w:rsidRDefault="007874FB">
      <w:r>
        <w:separator/>
      </w:r>
    </w:p>
  </w:endnote>
  <w:endnote w:type="continuationSeparator" w:id="0">
    <w:p w14:paraId="5F4117A5" w14:textId="77777777" w:rsidR="007874FB" w:rsidRDefault="00787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A5637"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B86835" w14:textId="77777777" w:rsidR="007874FB" w:rsidRDefault="007874FB">
      <w:r>
        <w:separator/>
      </w:r>
    </w:p>
  </w:footnote>
  <w:footnote w:type="continuationSeparator" w:id="0">
    <w:p w14:paraId="3CA86488" w14:textId="77777777" w:rsidR="007874FB" w:rsidRDefault="007874FB">
      <w:r>
        <w:continuationSeparator/>
      </w:r>
    </w:p>
  </w:footnote>
  <w:footnote w:type="continuationNotice" w:id="1">
    <w:p w14:paraId="724E7D0F" w14:textId="77777777" w:rsidR="007874FB" w:rsidRDefault="007874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8017D"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6A00C" w14:textId="77777777" w:rsidR="001D1343" w:rsidRDefault="0018797C">
    <w:pPr>
      <w:pStyle w:val="Zhlav"/>
    </w:pPr>
    <w:r>
      <w:rPr>
        <w:noProof/>
      </w:rPr>
      <w:drawing>
        <wp:anchor distT="0" distB="0" distL="114300" distR="114300" simplePos="0" relativeHeight="251657728" behindDoc="0" locked="0" layoutInCell="1" allowOverlap="1" wp14:anchorId="03F4AD04" wp14:editId="5C9E197D">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anchor>
      </w:drawing>
    </w:r>
  </w:p>
  <w:p w14:paraId="30368C94" w14:textId="77777777" w:rsidR="001D1343" w:rsidRDefault="001D1343">
    <w:pPr>
      <w:pStyle w:val="Zhlav"/>
    </w:pPr>
  </w:p>
  <w:p w14:paraId="37BBE7A7"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9A0F82A"/>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B30FB3"/>
    <w:multiLevelType w:val="hybridMultilevel"/>
    <w:tmpl w:val="D6C01A5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ADA0103"/>
    <w:multiLevelType w:val="hybridMultilevel"/>
    <w:tmpl w:val="741E0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0FCA78F7"/>
    <w:multiLevelType w:val="multilevel"/>
    <w:tmpl w:val="EAECD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6" w15:restartNumberingAfterBreak="0">
    <w:nsid w:val="16AC0403"/>
    <w:multiLevelType w:val="multilevel"/>
    <w:tmpl w:val="3ABA51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8" w15:restartNumberingAfterBreak="0">
    <w:nsid w:val="1F652445"/>
    <w:multiLevelType w:val="hybridMultilevel"/>
    <w:tmpl w:val="22F69F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53F0E45"/>
    <w:multiLevelType w:val="hybridMultilevel"/>
    <w:tmpl w:val="881AF074"/>
    <w:lvl w:ilvl="0" w:tplc="EBD83B3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1" w15:restartNumberingAfterBreak="0">
    <w:nsid w:val="25C1264C"/>
    <w:multiLevelType w:val="hybridMultilevel"/>
    <w:tmpl w:val="F19A36BA"/>
    <w:lvl w:ilvl="0" w:tplc="04090005">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2"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29903D7F"/>
    <w:multiLevelType w:val="hybridMultilevel"/>
    <w:tmpl w:val="EA94DB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0CE70FD"/>
    <w:multiLevelType w:val="multilevel"/>
    <w:tmpl w:val="BEE4DE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A3345E3"/>
    <w:multiLevelType w:val="hybridMultilevel"/>
    <w:tmpl w:val="21E01A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E9A41E1"/>
    <w:multiLevelType w:val="hybridMultilevel"/>
    <w:tmpl w:val="488200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30" w15:restartNumberingAfterBreak="0">
    <w:nsid w:val="5BCB4766"/>
    <w:multiLevelType w:val="hybridMultilevel"/>
    <w:tmpl w:val="AE3A73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32" w15:restartNumberingAfterBreak="0">
    <w:nsid w:val="66226CD4"/>
    <w:multiLevelType w:val="multilevel"/>
    <w:tmpl w:val="61EAA95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6970551"/>
    <w:multiLevelType w:val="hybridMultilevel"/>
    <w:tmpl w:val="3DA65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5" w15:restartNumberingAfterBreak="0">
    <w:nsid w:val="71A10DC4"/>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5BA2421"/>
    <w:multiLevelType w:val="hybridMultilevel"/>
    <w:tmpl w:val="46A207C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8" w15:restartNumberingAfterBreak="0">
    <w:nsid w:val="7C644AB6"/>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73703941">
    <w:abstractNumId w:val="17"/>
  </w:num>
  <w:num w:numId="2" w16cid:durableId="1638339720">
    <w:abstractNumId w:val="31"/>
  </w:num>
  <w:num w:numId="3" w16cid:durableId="1582174134">
    <w:abstractNumId w:val="36"/>
  </w:num>
  <w:num w:numId="4" w16cid:durableId="1727561179">
    <w:abstractNumId w:val="22"/>
  </w:num>
  <w:num w:numId="5" w16cid:durableId="56979214">
    <w:abstractNumId w:val="24"/>
  </w:num>
  <w:num w:numId="6" w16cid:durableId="52699439">
    <w:abstractNumId w:val="20"/>
  </w:num>
  <w:num w:numId="7" w16cid:durableId="1526748972">
    <w:abstractNumId w:val="34"/>
  </w:num>
  <w:num w:numId="8" w16cid:durableId="1090007024">
    <w:abstractNumId w:val="25"/>
  </w:num>
  <w:num w:numId="9" w16cid:durableId="1032535037">
    <w:abstractNumId w:val="8"/>
  </w:num>
  <w:num w:numId="10" w16cid:durableId="1368292198">
    <w:abstractNumId w:val="3"/>
  </w:num>
  <w:num w:numId="11" w16cid:durableId="427233610">
    <w:abstractNumId w:val="2"/>
  </w:num>
  <w:num w:numId="12" w16cid:durableId="1182013425">
    <w:abstractNumId w:val="1"/>
  </w:num>
  <w:num w:numId="13" w16cid:durableId="1669865951">
    <w:abstractNumId w:val="0"/>
  </w:num>
  <w:num w:numId="14" w16cid:durableId="1801612444">
    <w:abstractNumId w:val="11"/>
  </w:num>
  <w:num w:numId="15" w16cid:durableId="25445604">
    <w:abstractNumId w:val="9"/>
  </w:num>
  <w:num w:numId="16" w16cid:durableId="178474471">
    <w:abstractNumId w:val="7"/>
  </w:num>
  <w:num w:numId="17" w16cid:durableId="545071526">
    <w:abstractNumId w:val="6"/>
  </w:num>
  <w:num w:numId="18" w16cid:durableId="1622882410">
    <w:abstractNumId w:val="5"/>
  </w:num>
  <w:num w:numId="19" w16cid:durableId="437528543">
    <w:abstractNumId w:val="4"/>
  </w:num>
  <w:num w:numId="20" w16cid:durableId="2003003173">
    <w:abstractNumId w:val="15"/>
  </w:num>
  <w:num w:numId="21" w16cid:durableId="1552955819">
    <w:abstractNumId w:val="29"/>
  </w:num>
  <w:num w:numId="22" w16cid:durableId="1722094048">
    <w:abstractNumId w:val="12"/>
  </w:num>
  <w:num w:numId="23" w16cid:durableId="1472819905">
    <w:abstractNumId w:val="10"/>
  </w:num>
  <w:num w:numId="24" w16cid:durableId="1979648277">
    <w:abstractNumId w:val="13"/>
  </w:num>
  <w:num w:numId="25" w16cid:durableId="1164123908">
    <w:abstractNumId w:val="18"/>
  </w:num>
  <w:num w:numId="26" w16cid:durableId="2000425049">
    <w:abstractNumId w:val="33"/>
  </w:num>
  <w:num w:numId="27" w16cid:durableId="339890089">
    <w:abstractNumId w:val="28"/>
  </w:num>
  <w:num w:numId="28" w16cid:durableId="571113239">
    <w:abstractNumId w:val="19"/>
  </w:num>
  <w:num w:numId="29" w16cid:durableId="1961842128">
    <w:abstractNumId w:val="21"/>
  </w:num>
  <w:num w:numId="30" w16cid:durableId="1308898731">
    <w:abstractNumId w:val="23"/>
  </w:num>
  <w:num w:numId="31" w16cid:durableId="297690701">
    <w:abstractNumId w:val="30"/>
  </w:num>
  <w:num w:numId="32" w16cid:durableId="1759861628">
    <w:abstractNumId w:val="37"/>
  </w:num>
  <w:num w:numId="33" w16cid:durableId="2037387264">
    <w:abstractNumId w:val="27"/>
  </w:num>
  <w:num w:numId="34" w16cid:durableId="1056201924">
    <w:abstractNumId w:val="35"/>
  </w:num>
  <w:num w:numId="35" w16cid:durableId="1984849997">
    <w:abstractNumId w:val="38"/>
  </w:num>
  <w:num w:numId="36" w16cid:durableId="1007513551">
    <w:abstractNumId w:val="14"/>
  </w:num>
  <w:num w:numId="37" w16cid:durableId="1296060939">
    <w:abstractNumId w:val="32"/>
  </w:num>
  <w:num w:numId="38" w16cid:durableId="1285503461">
    <w:abstractNumId w:val="16"/>
  </w:num>
  <w:num w:numId="39" w16cid:durableId="540216830">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C6"/>
    <w:rsid w:val="00001A0D"/>
    <w:rsid w:val="000029A3"/>
    <w:rsid w:val="0000353E"/>
    <w:rsid w:val="000051B3"/>
    <w:rsid w:val="00005C47"/>
    <w:rsid w:val="000064D6"/>
    <w:rsid w:val="00006E35"/>
    <w:rsid w:val="00011BEC"/>
    <w:rsid w:val="00013232"/>
    <w:rsid w:val="00016492"/>
    <w:rsid w:val="00017E0A"/>
    <w:rsid w:val="00021D97"/>
    <w:rsid w:val="0002277D"/>
    <w:rsid w:val="000237A9"/>
    <w:rsid w:val="00026B23"/>
    <w:rsid w:val="00032CD3"/>
    <w:rsid w:val="00033378"/>
    <w:rsid w:val="0003583E"/>
    <w:rsid w:val="00035DD6"/>
    <w:rsid w:val="000363FF"/>
    <w:rsid w:val="000378F9"/>
    <w:rsid w:val="00040650"/>
    <w:rsid w:val="00040CE8"/>
    <w:rsid w:val="00040DEC"/>
    <w:rsid w:val="00041B2D"/>
    <w:rsid w:val="000452CD"/>
    <w:rsid w:val="00045D38"/>
    <w:rsid w:val="00047888"/>
    <w:rsid w:val="00047D97"/>
    <w:rsid w:val="00047F54"/>
    <w:rsid w:val="000502C0"/>
    <w:rsid w:val="00050575"/>
    <w:rsid w:val="00052178"/>
    <w:rsid w:val="0005404F"/>
    <w:rsid w:val="00054FEF"/>
    <w:rsid w:val="000564A3"/>
    <w:rsid w:val="00061775"/>
    <w:rsid w:val="00062BEA"/>
    <w:rsid w:val="00063F4E"/>
    <w:rsid w:val="00065B2F"/>
    <w:rsid w:val="000667E6"/>
    <w:rsid w:val="000702F0"/>
    <w:rsid w:val="0007034E"/>
    <w:rsid w:val="0007090F"/>
    <w:rsid w:val="00070C89"/>
    <w:rsid w:val="00071169"/>
    <w:rsid w:val="0007145D"/>
    <w:rsid w:val="00073A88"/>
    <w:rsid w:val="00073D6F"/>
    <w:rsid w:val="000755DF"/>
    <w:rsid w:val="000763EB"/>
    <w:rsid w:val="0007674D"/>
    <w:rsid w:val="000767DF"/>
    <w:rsid w:val="00076A25"/>
    <w:rsid w:val="00076A2B"/>
    <w:rsid w:val="00080750"/>
    <w:rsid w:val="00081DCE"/>
    <w:rsid w:val="00084075"/>
    <w:rsid w:val="00091210"/>
    <w:rsid w:val="00092137"/>
    <w:rsid w:val="000923E4"/>
    <w:rsid w:val="00093200"/>
    <w:rsid w:val="00093C6A"/>
    <w:rsid w:val="00093E98"/>
    <w:rsid w:val="000940D0"/>
    <w:rsid w:val="000A0176"/>
    <w:rsid w:val="000A2833"/>
    <w:rsid w:val="000A2D6F"/>
    <w:rsid w:val="000A3FFF"/>
    <w:rsid w:val="000A572D"/>
    <w:rsid w:val="000A5FDF"/>
    <w:rsid w:val="000A73CB"/>
    <w:rsid w:val="000A755E"/>
    <w:rsid w:val="000B0FBB"/>
    <w:rsid w:val="000B2222"/>
    <w:rsid w:val="000B2426"/>
    <w:rsid w:val="000B39A5"/>
    <w:rsid w:val="000B51E9"/>
    <w:rsid w:val="000B57A2"/>
    <w:rsid w:val="000B5A2B"/>
    <w:rsid w:val="000C0E0E"/>
    <w:rsid w:val="000C17C8"/>
    <w:rsid w:val="000C34DC"/>
    <w:rsid w:val="000C4D6D"/>
    <w:rsid w:val="000C5471"/>
    <w:rsid w:val="000C727D"/>
    <w:rsid w:val="000C772F"/>
    <w:rsid w:val="000D25CC"/>
    <w:rsid w:val="000D3C66"/>
    <w:rsid w:val="000D5282"/>
    <w:rsid w:val="000D580F"/>
    <w:rsid w:val="000E0C24"/>
    <w:rsid w:val="000E2910"/>
    <w:rsid w:val="000E3678"/>
    <w:rsid w:val="000E3D98"/>
    <w:rsid w:val="000E42A1"/>
    <w:rsid w:val="000E5D25"/>
    <w:rsid w:val="000E7127"/>
    <w:rsid w:val="000E7418"/>
    <w:rsid w:val="000F0587"/>
    <w:rsid w:val="000F1AE6"/>
    <w:rsid w:val="000F2443"/>
    <w:rsid w:val="000F274E"/>
    <w:rsid w:val="000F27E1"/>
    <w:rsid w:val="000F330C"/>
    <w:rsid w:val="000F4953"/>
    <w:rsid w:val="000F5A28"/>
    <w:rsid w:val="000F5BBC"/>
    <w:rsid w:val="000F687B"/>
    <w:rsid w:val="000F75AD"/>
    <w:rsid w:val="000F75F1"/>
    <w:rsid w:val="000F7C86"/>
    <w:rsid w:val="0010078F"/>
    <w:rsid w:val="00102DF4"/>
    <w:rsid w:val="00111B20"/>
    <w:rsid w:val="00112C69"/>
    <w:rsid w:val="00112D51"/>
    <w:rsid w:val="00113408"/>
    <w:rsid w:val="00113C5A"/>
    <w:rsid w:val="00113E5E"/>
    <w:rsid w:val="0011458C"/>
    <w:rsid w:val="00114722"/>
    <w:rsid w:val="001169F2"/>
    <w:rsid w:val="00117D27"/>
    <w:rsid w:val="0012091C"/>
    <w:rsid w:val="00121FAB"/>
    <w:rsid w:val="0012308F"/>
    <w:rsid w:val="00126B10"/>
    <w:rsid w:val="00127396"/>
    <w:rsid w:val="00130E22"/>
    <w:rsid w:val="00131E29"/>
    <w:rsid w:val="00134A55"/>
    <w:rsid w:val="00137FDE"/>
    <w:rsid w:val="00140F96"/>
    <w:rsid w:val="00141CF1"/>
    <w:rsid w:val="0014300F"/>
    <w:rsid w:val="001443DF"/>
    <w:rsid w:val="001444EC"/>
    <w:rsid w:val="00145F9D"/>
    <w:rsid w:val="001462C0"/>
    <w:rsid w:val="00146BBC"/>
    <w:rsid w:val="001522B5"/>
    <w:rsid w:val="00153D75"/>
    <w:rsid w:val="00153FD1"/>
    <w:rsid w:val="00154C56"/>
    <w:rsid w:val="00160EB2"/>
    <w:rsid w:val="00161993"/>
    <w:rsid w:val="001628BC"/>
    <w:rsid w:val="0016361E"/>
    <w:rsid w:val="00165789"/>
    <w:rsid w:val="00170309"/>
    <w:rsid w:val="001715D9"/>
    <w:rsid w:val="00172511"/>
    <w:rsid w:val="00172F1C"/>
    <w:rsid w:val="0017506A"/>
    <w:rsid w:val="00177E1C"/>
    <w:rsid w:val="00177E5E"/>
    <w:rsid w:val="0018406F"/>
    <w:rsid w:val="00184F14"/>
    <w:rsid w:val="0018525E"/>
    <w:rsid w:val="0018797C"/>
    <w:rsid w:val="00191AE8"/>
    <w:rsid w:val="00193268"/>
    <w:rsid w:val="00193655"/>
    <w:rsid w:val="00193CC3"/>
    <w:rsid w:val="00194285"/>
    <w:rsid w:val="00194945"/>
    <w:rsid w:val="001970D7"/>
    <w:rsid w:val="00197E01"/>
    <w:rsid w:val="001A085A"/>
    <w:rsid w:val="001A0CB6"/>
    <w:rsid w:val="001A1B9B"/>
    <w:rsid w:val="001A3CA7"/>
    <w:rsid w:val="001A4AA9"/>
    <w:rsid w:val="001A68C4"/>
    <w:rsid w:val="001A6ED5"/>
    <w:rsid w:val="001A7D5A"/>
    <w:rsid w:val="001A7DE3"/>
    <w:rsid w:val="001B19BC"/>
    <w:rsid w:val="001B1BBD"/>
    <w:rsid w:val="001B23C8"/>
    <w:rsid w:val="001B2BE9"/>
    <w:rsid w:val="001B306F"/>
    <w:rsid w:val="001B353C"/>
    <w:rsid w:val="001B489F"/>
    <w:rsid w:val="001B69B7"/>
    <w:rsid w:val="001C5A91"/>
    <w:rsid w:val="001C5DB0"/>
    <w:rsid w:val="001C6F31"/>
    <w:rsid w:val="001D032B"/>
    <w:rsid w:val="001D0D99"/>
    <w:rsid w:val="001D1343"/>
    <w:rsid w:val="001D4B56"/>
    <w:rsid w:val="001D5163"/>
    <w:rsid w:val="001D7A7E"/>
    <w:rsid w:val="001E2936"/>
    <w:rsid w:val="001E2B0D"/>
    <w:rsid w:val="001E476B"/>
    <w:rsid w:val="001E507C"/>
    <w:rsid w:val="001E53EB"/>
    <w:rsid w:val="001E57AB"/>
    <w:rsid w:val="001E67FF"/>
    <w:rsid w:val="001E6C4F"/>
    <w:rsid w:val="001F1A22"/>
    <w:rsid w:val="001F2C9A"/>
    <w:rsid w:val="001F4B06"/>
    <w:rsid w:val="001F5BD4"/>
    <w:rsid w:val="001F627F"/>
    <w:rsid w:val="002006D5"/>
    <w:rsid w:val="00201CD7"/>
    <w:rsid w:val="002027ED"/>
    <w:rsid w:val="00202F64"/>
    <w:rsid w:val="00206A9C"/>
    <w:rsid w:val="00212B9E"/>
    <w:rsid w:val="00212DDA"/>
    <w:rsid w:val="002147C4"/>
    <w:rsid w:val="00216EFA"/>
    <w:rsid w:val="0021765E"/>
    <w:rsid w:val="0021778F"/>
    <w:rsid w:val="00221EE4"/>
    <w:rsid w:val="002237EC"/>
    <w:rsid w:val="00224347"/>
    <w:rsid w:val="00224EAE"/>
    <w:rsid w:val="00225670"/>
    <w:rsid w:val="00226D28"/>
    <w:rsid w:val="002273F8"/>
    <w:rsid w:val="00230204"/>
    <w:rsid w:val="0023028F"/>
    <w:rsid w:val="00230A3C"/>
    <w:rsid w:val="00230B88"/>
    <w:rsid w:val="00231842"/>
    <w:rsid w:val="00231E15"/>
    <w:rsid w:val="002325C8"/>
    <w:rsid w:val="00232D93"/>
    <w:rsid w:val="00235E9D"/>
    <w:rsid w:val="0023608B"/>
    <w:rsid w:val="00236922"/>
    <w:rsid w:val="00236A18"/>
    <w:rsid w:val="00236C7C"/>
    <w:rsid w:val="00236FC4"/>
    <w:rsid w:val="00240FEC"/>
    <w:rsid w:val="0024226C"/>
    <w:rsid w:val="002423A0"/>
    <w:rsid w:val="002438EA"/>
    <w:rsid w:val="00245331"/>
    <w:rsid w:val="00246476"/>
    <w:rsid w:val="0024760D"/>
    <w:rsid w:val="002476C8"/>
    <w:rsid w:val="00252C08"/>
    <w:rsid w:val="0025356A"/>
    <w:rsid w:val="002548DB"/>
    <w:rsid w:val="00255E9C"/>
    <w:rsid w:val="00255F84"/>
    <w:rsid w:val="00256118"/>
    <w:rsid w:val="00256692"/>
    <w:rsid w:val="00257859"/>
    <w:rsid w:val="0026336D"/>
    <w:rsid w:val="00266BB2"/>
    <w:rsid w:val="00267F47"/>
    <w:rsid w:val="002746C8"/>
    <w:rsid w:val="00274B2A"/>
    <w:rsid w:val="00276830"/>
    <w:rsid w:val="002772EA"/>
    <w:rsid w:val="00277457"/>
    <w:rsid w:val="002804AB"/>
    <w:rsid w:val="0028058D"/>
    <w:rsid w:val="0028110E"/>
    <w:rsid w:val="0028168C"/>
    <w:rsid w:val="00282531"/>
    <w:rsid w:val="00283492"/>
    <w:rsid w:val="00283AE5"/>
    <w:rsid w:val="00283F1B"/>
    <w:rsid w:val="00284C66"/>
    <w:rsid w:val="0029073F"/>
    <w:rsid w:val="00291676"/>
    <w:rsid w:val="00291E39"/>
    <w:rsid w:val="0029280B"/>
    <w:rsid w:val="00292C1D"/>
    <w:rsid w:val="00292EC0"/>
    <w:rsid w:val="00293679"/>
    <w:rsid w:val="00296721"/>
    <w:rsid w:val="00296E4C"/>
    <w:rsid w:val="00296EFF"/>
    <w:rsid w:val="00297239"/>
    <w:rsid w:val="00297E46"/>
    <w:rsid w:val="002A0553"/>
    <w:rsid w:val="002A2D40"/>
    <w:rsid w:val="002A3111"/>
    <w:rsid w:val="002A44A9"/>
    <w:rsid w:val="002A4D2E"/>
    <w:rsid w:val="002B0AF2"/>
    <w:rsid w:val="002B0AFD"/>
    <w:rsid w:val="002B0B15"/>
    <w:rsid w:val="002B14B5"/>
    <w:rsid w:val="002B2991"/>
    <w:rsid w:val="002B3C38"/>
    <w:rsid w:val="002B5926"/>
    <w:rsid w:val="002B6FCD"/>
    <w:rsid w:val="002B72A2"/>
    <w:rsid w:val="002B7380"/>
    <w:rsid w:val="002B7901"/>
    <w:rsid w:val="002C1698"/>
    <w:rsid w:val="002C2049"/>
    <w:rsid w:val="002C50AC"/>
    <w:rsid w:val="002C5176"/>
    <w:rsid w:val="002C6682"/>
    <w:rsid w:val="002C7913"/>
    <w:rsid w:val="002D0CC4"/>
    <w:rsid w:val="002D0CD4"/>
    <w:rsid w:val="002D11C7"/>
    <w:rsid w:val="002D22C6"/>
    <w:rsid w:val="002D28A9"/>
    <w:rsid w:val="002D7CBC"/>
    <w:rsid w:val="002E3325"/>
    <w:rsid w:val="002E497E"/>
    <w:rsid w:val="002E76D1"/>
    <w:rsid w:val="002F0500"/>
    <w:rsid w:val="002F1160"/>
    <w:rsid w:val="002F7A8F"/>
    <w:rsid w:val="00301881"/>
    <w:rsid w:val="00302961"/>
    <w:rsid w:val="00303102"/>
    <w:rsid w:val="00304242"/>
    <w:rsid w:val="00307253"/>
    <w:rsid w:val="003078EB"/>
    <w:rsid w:val="00307E7E"/>
    <w:rsid w:val="00310E2F"/>
    <w:rsid w:val="003114D0"/>
    <w:rsid w:val="00311AE0"/>
    <w:rsid w:val="00311D2E"/>
    <w:rsid w:val="003172DF"/>
    <w:rsid w:val="003177AF"/>
    <w:rsid w:val="00320015"/>
    <w:rsid w:val="00321AE8"/>
    <w:rsid w:val="00322445"/>
    <w:rsid w:val="00322CF1"/>
    <w:rsid w:val="00324545"/>
    <w:rsid w:val="00327439"/>
    <w:rsid w:val="003274DC"/>
    <w:rsid w:val="00327F8D"/>
    <w:rsid w:val="00327F8E"/>
    <w:rsid w:val="003301F8"/>
    <w:rsid w:val="00330746"/>
    <w:rsid w:val="00331400"/>
    <w:rsid w:val="0033156B"/>
    <w:rsid w:val="003322D8"/>
    <w:rsid w:val="003343C4"/>
    <w:rsid w:val="00334497"/>
    <w:rsid w:val="00340CA2"/>
    <w:rsid w:val="00341E98"/>
    <w:rsid w:val="00344296"/>
    <w:rsid w:val="00347B43"/>
    <w:rsid w:val="0035034F"/>
    <w:rsid w:val="003524F1"/>
    <w:rsid w:val="00352E92"/>
    <w:rsid w:val="00352F7A"/>
    <w:rsid w:val="00356DCD"/>
    <w:rsid w:val="0036129D"/>
    <w:rsid w:val="00364C9F"/>
    <w:rsid w:val="00366ABC"/>
    <w:rsid w:val="00370EB8"/>
    <w:rsid w:val="00371045"/>
    <w:rsid w:val="00371B42"/>
    <w:rsid w:val="00372ACE"/>
    <w:rsid w:val="00372D58"/>
    <w:rsid w:val="003731A5"/>
    <w:rsid w:val="003736DA"/>
    <w:rsid w:val="00373731"/>
    <w:rsid w:val="00374CFA"/>
    <w:rsid w:val="003751F0"/>
    <w:rsid w:val="0037564F"/>
    <w:rsid w:val="00382A16"/>
    <w:rsid w:val="00383735"/>
    <w:rsid w:val="00383E57"/>
    <w:rsid w:val="00384699"/>
    <w:rsid w:val="00386215"/>
    <w:rsid w:val="003864E2"/>
    <w:rsid w:val="003866DC"/>
    <w:rsid w:val="003872AC"/>
    <w:rsid w:val="003900AC"/>
    <w:rsid w:val="00390999"/>
    <w:rsid w:val="003911D6"/>
    <w:rsid w:val="00391EEB"/>
    <w:rsid w:val="00394B7B"/>
    <w:rsid w:val="00395B87"/>
    <w:rsid w:val="00397E34"/>
    <w:rsid w:val="003A0565"/>
    <w:rsid w:val="003A0BB4"/>
    <w:rsid w:val="003A2CC7"/>
    <w:rsid w:val="003A415C"/>
    <w:rsid w:val="003A4774"/>
    <w:rsid w:val="003A68DD"/>
    <w:rsid w:val="003A7482"/>
    <w:rsid w:val="003A75FD"/>
    <w:rsid w:val="003A7DAF"/>
    <w:rsid w:val="003B397A"/>
    <w:rsid w:val="003B3BF6"/>
    <w:rsid w:val="003B4278"/>
    <w:rsid w:val="003B6B7E"/>
    <w:rsid w:val="003C0075"/>
    <w:rsid w:val="003C06F7"/>
    <w:rsid w:val="003C1594"/>
    <w:rsid w:val="003C19B7"/>
    <w:rsid w:val="003C4059"/>
    <w:rsid w:val="003C50F1"/>
    <w:rsid w:val="003C511D"/>
    <w:rsid w:val="003C5AFB"/>
    <w:rsid w:val="003C6392"/>
    <w:rsid w:val="003C681A"/>
    <w:rsid w:val="003C7010"/>
    <w:rsid w:val="003C7DAE"/>
    <w:rsid w:val="003D2083"/>
    <w:rsid w:val="003D20CC"/>
    <w:rsid w:val="003D2B0F"/>
    <w:rsid w:val="003D626C"/>
    <w:rsid w:val="003E03EB"/>
    <w:rsid w:val="003E0642"/>
    <w:rsid w:val="003E1363"/>
    <w:rsid w:val="003E450D"/>
    <w:rsid w:val="003E54FD"/>
    <w:rsid w:val="003F0943"/>
    <w:rsid w:val="003F142F"/>
    <w:rsid w:val="003F2486"/>
    <w:rsid w:val="003F2E64"/>
    <w:rsid w:val="003F6488"/>
    <w:rsid w:val="003F69CE"/>
    <w:rsid w:val="003F69D9"/>
    <w:rsid w:val="003F6F64"/>
    <w:rsid w:val="003F7813"/>
    <w:rsid w:val="00400B6B"/>
    <w:rsid w:val="004021B9"/>
    <w:rsid w:val="00402409"/>
    <w:rsid w:val="00404DB5"/>
    <w:rsid w:val="00405D0D"/>
    <w:rsid w:val="004113D5"/>
    <w:rsid w:val="004118D0"/>
    <w:rsid w:val="004125BB"/>
    <w:rsid w:val="00412819"/>
    <w:rsid w:val="0041337E"/>
    <w:rsid w:val="004177E3"/>
    <w:rsid w:val="004202CB"/>
    <w:rsid w:val="00420D53"/>
    <w:rsid w:val="004238B6"/>
    <w:rsid w:val="00424771"/>
    <w:rsid w:val="00425B35"/>
    <w:rsid w:val="00427801"/>
    <w:rsid w:val="0043115E"/>
    <w:rsid w:val="00431E52"/>
    <w:rsid w:val="00433AB4"/>
    <w:rsid w:val="0043546F"/>
    <w:rsid w:val="004428A1"/>
    <w:rsid w:val="00443C2E"/>
    <w:rsid w:val="004444B6"/>
    <w:rsid w:val="00445D92"/>
    <w:rsid w:val="00447E3C"/>
    <w:rsid w:val="0045291A"/>
    <w:rsid w:val="00452BD8"/>
    <w:rsid w:val="004539E4"/>
    <w:rsid w:val="004544F8"/>
    <w:rsid w:val="00454D44"/>
    <w:rsid w:val="00455259"/>
    <w:rsid w:val="00455A3C"/>
    <w:rsid w:val="0046155B"/>
    <w:rsid w:val="004634EE"/>
    <w:rsid w:val="00463E8F"/>
    <w:rsid w:val="00464475"/>
    <w:rsid w:val="00466116"/>
    <w:rsid w:val="00467BA4"/>
    <w:rsid w:val="004705A5"/>
    <w:rsid w:val="0047156B"/>
    <w:rsid w:val="004715F4"/>
    <w:rsid w:val="0047275D"/>
    <w:rsid w:val="00475575"/>
    <w:rsid w:val="004761F2"/>
    <w:rsid w:val="00480C04"/>
    <w:rsid w:val="00480E25"/>
    <w:rsid w:val="00483678"/>
    <w:rsid w:val="00484077"/>
    <w:rsid w:val="00484668"/>
    <w:rsid w:val="004846D8"/>
    <w:rsid w:val="0048487F"/>
    <w:rsid w:val="004863EC"/>
    <w:rsid w:val="00487542"/>
    <w:rsid w:val="0049074E"/>
    <w:rsid w:val="004907F4"/>
    <w:rsid w:val="00493172"/>
    <w:rsid w:val="00493333"/>
    <w:rsid w:val="0049538C"/>
    <w:rsid w:val="004955BB"/>
    <w:rsid w:val="004A0EA9"/>
    <w:rsid w:val="004A3533"/>
    <w:rsid w:val="004A3C5B"/>
    <w:rsid w:val="004A461C"/>
    <w:rsid w:val="004A4780"/>
    <w:rsid w:val="004A47DC"/>
    <w:rsid w:val="004A52B6"/>
    <w:rsid w:val="004B25A0"/>
    <w:rsid w:val="004B29BE"/>
    <w:rsid w:val="004B366C"/>
    <w:rsid w:val="004B3A45"/>
    <w:rsid w:val="004B4063"/>
    <w:rsid w:val="004B4F7D"/>
    <w:rsid w:val="004B4F84"/>
    <w:rsid w:val="004B5505"/>
    <w:rsid w:val="004B55E8"/>
    <w:rsid w:val="004B5CB6"/>
    <w:rsid w:val="004C1341"/>
    <w:rsid w:val="004C21C9"/>
    <w:rsid w:val="004C2FA8"/>
    <w:rsid w:val="004C3497"/>
    <w:rsid w:val="004C352C"/>
    <w:rsid w:val="004C3BA7"/>
    <w:rsid w:val="004C5035"/>
    <w:rsid w:val="004C5F47"/>
    <w:rsid w:val="004C7E96"/>
    <w:rsid w:val="004C7EA7"/>
    <w:rsid w:val="004D1014"/>
    <w:rsid w:val="004D3633"/>
    <w:rsid w:val="004D66DB"/>
    <w:rsid w:val="004E1CB1"/>
    <w:rsid w:val="004E2D7E"/>
    <w:rsid w:val="004E4B6A"/>
    <w:rsid w:val="004E4ED5"/>
    <w:rsid w:val="004E6300"/>
    <w:rsid w:val="004F1DDB"/>
    <w:rsid w:val="004F2995"/>
    <w:rsid w:val="004F324F"/>
    <w:rsid w:val="004F4064"/>
    <w:rsid w:val="004F5136"/>
    <w:rsid w:val="004F688F"/>
    <w:rsid w:val="004F74B4"/>
    <w:rsid w:val="004F7624"/>
    <w:rsid w:val="005007C8"/>
    <w:rsid w:val="005021C7"/>
    <w:rsid w:val="00502D84"/>
    <w:rsid w:val="00505FAA"/>
    <w:rsid w:val="00506095"/>
    <w:rsid w:val="00506ACA"/>
    <w:rsid w:val="00506CD0"/>
    <w:rsid w:val="005107FD"/>
    <w:rsid w:val="00510980"/>
    <w:rsid w:val="00511B34"/>
    <w:rsid w:val="00512AEC"/>
    <w:rsid w:val="00512D81"/>
    <w:rsid w:val="0051504C"/>
    <w:rsid w:val="005172B1"/>
    <w:rsid w:val="005206E2"/>
    <w:rsid w:val="00521ADE"/>
    <w:rsid w:val="0052268E"/>
    <w:rsid w:val="0052280A"/>
    <w:rsid w:val="005248D0"/>
    <w:rsid w:val="00524BC3"/>
    <w:rsid w:val="00525B77"/>
    <w:rsid w:val="0053070C"/>
    <w:rsid w:val="005314DF"/>
    <w:rsid w:val="00533105"/>
    <w:rsid w:val="005331B5"/>
    <w:rsid w:val="00534D3B"/>
    <w:rsid w:val="005351B3"/>
    <w:rsid w:val="005400A5"/>
    <w:rsid w:val="005420B4"/>
    <w:rsid w:val="005437B4"/>
    <w:rsid w:val="0054471F"/>
    <w:rsid w:val="00544A64"/>
    <w:rsid w:val="005459F5"/>
    <w:rsid w:val="00545B68"/>
    <w:rsid w:val="00546CB9"/>
    <w:rsid w:val="00546DF7"/>
    <w:rsid w:val="0055121B"/>
    <w:rsid w:val="00551751"/>
    <w:rsid w:val="00552B6E"/>
    <w:rsid w:val="005545A5"/>
    <w:rsid w:val="00555D64"/>
    <w:rsid w:val="00556D4F"/>
    <w:rsid w:val="00557A71"/>
    <w:rsid w:val="00560AED"/>
    <w:rsid w:val="005615FA"/>
    <w:rsid w:val="0056231D"/>
    <w:rsid w:val="005623DD"/>
    <w:rsid w:val="00563B23"/>
    <w:rsid w:val="0056452E"/>
    <w:rsid w:val="005656FB"/>
    <w:rsid w:val="00567010"/>
    <w:rsid w:val="005678EB"/>
    <w:rsid w:val="00570CA6"/>
    <w:rsid w:val="00570F18"/>
    <w:rsid w:val="0057123D"/>
    <w:rsid w:val="005720AF"/>
    <w:rsid w:val="0057387E"/>
    <w:rsid w:val="00573CC7"/>
    <w:rsid w:val="0057613C"/>
    <w:rsid w:val="00576443"/>
    <w:rsid w:val="00583941"/>
    <w:rsid w:val="005847DC"/>
    <w:rsid w:val="005856EF"/>
    <w:rsid w:val="00585CC6"/>
    <w:rsid w:val="005908A9"/>
    <w:rsid w:val="00590FA2"/>
    <w:rsid w:val="00591893"/>
    <w:rsid w:val="00592351"/>
    <w:rsid w:val="00593457"/>
    <w:rsid w:val="00594851"/>
    <w:rsid w:val="00594C42"/>
    <w:rsid w:val="00594CEF"/>
    <w:rsid w:val="00596841"/>
    <w:rsid w:val="0059684A"/>
    <w:rsid w:val="005A0345"/>
    <w:rsid w:val="005A0903"/>
    <w:rsid w:val="005A1633"/>
    <w:rsid w:val="005A16B9"/>
    <w:rsid w:val="005A2203"/>
    <w:rsid w:val="005A25B7"/>
    <w:rsid w:val="005A26EE"/>
    <w:rsid w:val="005A33F3"/>
    <w:rsid w:val="005A3C0F"/>
    <w:rsid w:val="005A3EC1"/>
    <w:rsid w:val="005A5AB1"/>
    <w:rsid w:val="005A658B"/>
    <w:rsid w:val="005B1B79"/>
    <w:rsid w:val="005B24EA"/>
    <w:rsid w:val="005B2F2A"/>
    <w:rsid w:val="005B33DF"/>
    <w:rsid w:val="005B55C1"/>
    <w:rsid w:val="005B6F85"/>
    <w:rsid w:val="005C00A9"/>
    <w:rsid w:val="005C20F7"/>
    <w:rsid w:val="005C22F8"/>
    <w:rsid w:val="005C4078"/>
    <w:rsid w:val="005C5039"/>
    <w:rsid w:val="005C5B2D"/>
    <w:rsid w:val="005C74D1"/>
    <w:rsid w:val="005C7C7C"/>
    <w:rsid w:val="005C7FC0"/>
    <w:rsid w:val="005D0735"/>
    <w:rsid w:val="005D1C98"/>
    <w:rsid w:val="005D37B5"/>
    <w:rsid w:val="005D3B85"/>
    <w:rsid w:val="005D3F78"/>
    <w:rsid w:val="005D49F1"/>
    <w:rsid w:val="005D5B6F"/>
    <w:rsid w:val="005D6494"/>
    <w:rsid w:val="005D72C2"/>
    <w:rsid w:val="005D79E1"/>
    <w:rsid w:val="005D7C68"/>
    <w:rsid w:val="005E1A38"/>
    <w:rsid w:val="005E2179"/>
    <w:rsid w:val="005E27A3"/>
    <w:rsid w:val="005E2AA8"/>
    <w:rsid w:val="005E45D5"/>
    <w:rsid w:val="005E616C"/>
    <w:rsid w:val="005E6624"/>
    <w:rsid w:val="005E66A3"/>
    <w:rsid w:val="005F34DA"/>
    <w:rsid w:val="005F54F7"/>
    <w:rsid w:val="006031EF"/>
    <w:rsid w:val="0060337A"/>
    <w:rsid w:val="006044C8"/>
    <w:rsid w:val="00604C17"/>
    <w:rsid w:val="006058F1"/>
    <w:rsid w:val="006108D1"/>
    <w:rsid w:val="00611055"/>
    <w:rsid w:val="00611687"/>
    <w:rsid w:val="00612491"/>
    <w:rsid w:val="00613269"/>
    <w:rsid w:val="00614F7E"/>
    <w:rsid w:val="0061601E"/>
    <w:rsid w:val="0061643A"/>
    <w:rsid w:val="00617053"/>
    <w:rsid w:val="00617E2A"/>
    <w:rsid w:val="00620ECE"/>
    <w:rsid w:val="0062106A"/>
    <w:rsid w:val="006226CD"/>
    <w:rsid w:val="00622E77"/>
    <w:rsid w:val="00623758"/>
    <w:rsid w:val="0062398C"/>
    <w:rsid w:val="00624AE2"/>
    <w:rsid w:val="00624DDA"/>
    <w:rsid w:val="00627B44"/>
    <w:rsid w:val="00627C23"/>
    <w:rsid w:val="006305EF"/>
    <w:rsid w:val="00631992"/>
    <w:rsid w:val="00632705"/>
    <w:rsid w:val="00640475"/>
    <w:rsid w:val="006404A9"/>
    <w:rsid w:val="006419BA"/>
    <w:rsid w:val="00641D35"/>
    <w:rsid w:val="00641F34"/>
    <w:rsid w:val="00642A36"/>
    <w:rsid w:val="006437A9"/>
    <w:rsid w:val="006440ED"/>
    <w:rsid w:val="00645857"/>
    <w:rsid w:val="00652AEE"/>
    <w:rsid w:val="00653433"/>
    <w:rsid w:val="00653727"/>
    <w:rsid w:val="00653C29"/>
    <w:rsid w:val="00654B04"/>
    <w:rsid w:val="0065650A"/>
    <w:rsid w:val="00656EB3"/>
    <w:rsid w:val="006573B5"/>
    <w:rsid w:val="00657D5A"/>
    <w:rsid w:val="00660480"/>
    <w:rsid w:val="00661FF2"/>
    <w:rsid w:val="00662C87"/>
    <w:rsid w:val="0066345D"/>
    <w:rsid w:val="00670027"/>
    <w:rsid w:val="00675EB3"/>
    <w:rsid w:val="00676843"/>
    <w:rsid w:val="00676BD2"/>
    <w:rsid w:val="00677228"/>
    <w:rsid w:val="006801CA"/>
    <w:rsid w:val="00680B56"/>
    <w:rsid w:val="00680C92"/>
    <w:rsid w:val="00682099"/>
    <w:rsid w:val="00682746"/>
    <w:rsid w:val="00683717"/>
    <w:rsid w:val="00684132"/>
    <w:rsid w:val="006844B9"/>
    <w:rsid w:val="00685B75"/>
    <w:rsid w:val="006867CC"/>
    <w:rsid w:val="00690740"/>
    <w:rsid w:val="00690C50"/>
    <w:rsid w:val="00692EE8"/>
    <w:rsid w:val="0069454C"/>
    <w:rsid w:val="00694CCF"/>
    <w:rsid w:val="00694D57"/>
    <w:rsid w:val="0069509B"/>
    <w:rsid w:val="00696362"/>
    <w:rsid w:val="006A04AE"/>
    <w:rsid w:val="006A0E52"/>
    <w:rsid w:val="006A25B4"/>
    <w:rsid w:val="006A30DB"/>
    <w:rsid w:val="006A3949"/>
    <w:rsid w:val="006A4A62"/>
    <w:rsid w:val="006A5942"/>
    <w:rsid w:val="006A7552"/>
    <w:rsid w:val="006B01B9"/>
    <w:rsid w:val="006B0439"/>
    <w:rsid w:val="006B0D10"/>
    <w:rsid w:val="006B0EC2"/>
    <w:rsid w:val="006B13D4"/>
    <w:rsid w:val="006B3ABE"/>
    <w:rsid w:val="006B4884"/>
    <w:rsid w:val="006B4A52"/>
    <w:rsid w:val="006B5383"/>
    <w:rsid w:val="006B6A37"/>
    <w:rsid w:val="006B6D68"/>
    <w:rsid w:val="006B6F61"/>
    <w:rsid w:val="006C4633"/>
    <w:rsid w:val="006C5636"/>
    <w:rsid w:val="006C6C67"/>
    <w:rsid w:val="006C79D3"/>
    <w:rsid w:val="006D0805"/>
    <w:rsid w:val="006D0AA8"/>
    <w:rsid w:val="006D2153"/>
    <w:rsid w:val="006D4517"/>
    <w:rsid w:val="006D5F3A"/>
    <w:rsid w:val="006D6BCD"/>
    <w:rsid w:val="006D7B5A"/>
    <w:rsid w:val="006E1E9E"/>
    <w:rsid w:val="006E4279"/>
    <w:rsid w:val="006E4913"/>
    <w:rsid w:val="006E5555"/>
    <w:rsid w:val="006E5B47"/>
    <w:rsid w:val="006E78BA"/>
    <w:rsid w:val="006E7DAC"/>
    <w:rsid w:val="006F15CC"/>
    <w:rsid w:val="006F1CCA"/>
    <w:rsid w:val="006F2C0E"/>
    <w:rsid w:val="006F4F09"/>
    <w:rsid w:val="006F640B"/>
    <w:rsid w:val="0070043C"/>
    <w:rsid w:val="007046FB"/>
    <w:rsid w:val="00705A61"/>
    <w:rsid w:val="00710424"/>
    <w:rsid w:val="007109F6"/>
    <w:rsid w:val="007133CB"/>
    <w:rsid w:val="00713F83"/>
    <w:rsid w:val="00715F45"/>
    <w:rsid w:val="00716604"/>
    <w:rsid w:val="0071719A"/>
    <w:rsid w:val="0071726D"/>
    <w:rsid w:val="007176A7"/>
    <w:rsid w:val="007178FF"/>
    <w:rsid w:val="007204B4"/>
    <w:rsid w:val="00720781"/>
    <w:rsid w:val="00722B07"/>
    <w:rsid w:val="00722BC9"/>
    <w:rsid w:val="00723632"/>
    <w:rsid w:val="007238DA"/>
    <w:rsid w:val="00725052"/>
    <w:rsid w:val="00725C3B"/>
    <w:rsid w:val="00725F39"/>
    <w:rsid w:val="00727027"/>
    <w:rsid w:val="0073000D"/>
    <w:rsid w:val="0073022F"/>
    <w:rsid w:val="00731F2B"/>
    <w:rsid w:val="00734AFD"/>
    <w:rsid w:val="00735E32"/>
    <w:rsid w:val="00736BEA"/>
    <w:rsid w:val="00740095"/>
    <w:rsid w:val="00742862"/>
    <w:rsid w:val="00742FD0"/>
    <w:rsid w:val="007432EF"/>
    <w:rsid w:val="00743FE9"/>
    <w:rsid w:val="00745DD0"/>
    <w:rsid w:val="00746455"/>
    <w:rsid w:val="00746F96"/>
    <w:rsid w:val="00750405"/>
    <w:rsid w:val="00751546"/>
    <w:rsid w:val="007541CE"/>
    <w:rsid w:val="007545E5"/>
    <w:rsid w:val="00755577"/>
    <w:rsid w:val="00756B91"/>
    <w:rsid w:val="00757E96"/>
    <w:rsid w:val="00760A86"/>
    <w:rsid w:val="0076741B"/>
    <w:rsid w:val="00770C0E"/>
    <w:rsid w:val="00771D19"/>
    <w:rsid w:val="0077277F"/>
    <w:rsid w:val="00774584"/>
    <w:rsid w:val="007747BE"/>
    <w:rsid w:val="00781625"/>
    <w:rsid w:val="00781792"/>
    <w:rsid w:val="00781A3A"/>
    <w:rsid w:val="00782512"/>
    <w:rsid w:val="007826B4"/>
    <w:rsid w:val="0078405C"/>
    <w:rsid w:val="00785A6D"/>
    <w:rsid w:val="00786B68"/>
    <w:rsid w:val="007874FB"/>
    <w:rsid w:val="007915AD"/>
    <w:rsid w:val="00792CC3"/>
    <w:rsid w:val="007947C6"/>
    <w:rsid w:val="00794CF3"/>
    <w:rsid w:val="00794E4C"/>
    <w:rsid w:val="00795109"/>
    <w:rsid w:val="0079614E"/>
    <w:rsid w:val="007A0160"/>
    <w:rsid w:val="007A027B"/>
    <w:rsid w:val="007A3937"/>
    <w:rsid w:val="007A40C6"/>
    <w:rsid w:val="007A4F20"/>
    <w:rsid w:val="007A6AA0"/>
    <w:rsid w:val="007A6B19"/>
    <w:rsid w:val="007B3045"/>
    <w:rsid w:val="007B45EC"/>
    <w:rsid w:val="007B49DF"/>
    <w:rsid w:val="007B4B6D"/>
    <w:rsid w:val="007B5296"/>
    <w:rsid w:val="007B655B"/>
    <w:rsid w:val="007B67AD"/>
    <w:rsid w:val="007B7639"/>
    <w:rsid w:val="007C00BA"/>
    <w:rsid w:val="007C18F2"/>
    <w:rsid w:val="007C1AC1"/>
    <w:rsid w:val="007C1FEC"/>
    <w:rsid w:val="007C46D1"/>
    <w:rsid w:val="007C5731"/>
    <w:rsid w:val="007C730D"/>
    <w:rsid w:val="007C7393"/>
    <w:rsid w:val="007D391B"/>
    <w:rsid w:val="007D3B29"/>
    <w:rsid w:val="007D5CD8"/>
    <w:rsid w:val="007D6974"/>
    <w:rsid w:val="007D7780"/>
    <w:rsid w:val="007E06B8"/>
    <w:rsid w:val="007E0A4B"/>
    <w:rsid w:val="007E326A"/>
    <w:rsid w:val="007E3EDF"/>
    <w:rsid w:val="007E4CDB"/>
    <w:rsid w:val="007E541D"/>
    <w:rsid w:val="007F1637"/>
    <w:rsid w:val="007F1B11"/>
    <w:rsid w:val="007F1FBA"/>
    <w:rsid w:val="007F4ABD"/>
    <w:rsid w:val="007F7212"/>
    <w:rsid w:val="007F74CA"/>
    <w:rsid w:val="007F7B5C"/>
    <w:rsid w:val="00800307"/>
    <w:rsid w:val="00800365"/>
    <w:rsid w:val="00800399"/>
    <w:rsid w:val="008014EC"/>
    <w:rsid w:val="0080235B"/>
    <w:rsid w:val="008029BA"/>
    <w:rsid w:val="008075EA"/>
    <w:rsid w:val="008111C3"/>
    <w:rsid w:val="00812CF5"/>
    <w:rsid w:val="00813471"/>
    <w:rsid w:val="00814198"/>
    <w:rsid w:val="00814390"/>
    <w:rsid w:val="00814679"/>
    <w:rsid w:val="00814849"/>
    <w:rsid w:val="00821F46"/>
    <w:rsid w:val="00822050"/>
    <w:rsid w:val="00822B92"/>
    <w:rsid w:val="00825488"/>
    <w:rsid w:val="00825653"/>
    <w:rsid w:val="00825D4F"/>
    <w:rsid w:val="00827DBA"/>
    <w:rsid w:val="00830D57"/>
    <w:rsid w:val="00832A31"/>
    <w:rsid w:val="00835916"/>
    <w:rsid w:val="0083650C"/>
    <w:rsid w:val="0084045B"/>
    <w:rsid w:val="00841B72"/>
    <w:rsid w:val="0084658D"/>
    <w:rsid w:val="0084695E"/>
    <w:rsid w:val="00850166"/>
    <w:rsid w:val="00850650"/>
    <w:rsid w:val="00851E91"/>
    <w:rsid w:val="008524C4"/>
    <w:rsid w:val="0085268C"/>
    <w:rsid w:val="00854ABD"/>
    <w:rsid w:val="00856ED6"/>
    <w:rsid w:val="00861070"/>
    <w:rsid w:val="00862CAD"/>
    <w:rsid w:val="00864A50"/>
    <w:rsid w:val="00865C11"/>
    <w:rsid w:val="00866290"/>
    <w:rsid w:val="00866978"/>
    <w:rsid w:val="00866CD7"/>
    <w:rsid w:val="00866D9F"/>
    <w:rsid w:val="00871D3C"/>
    <w:rsid w:val="00872129"/>
    <w:rsid w:val="00872D1B"/>
    <w:rsid w:val="00872DC6"/>
    <w:rsid w:val="008730BC"/>
    <w:rsid w:val="00874D66"/>
    <w:rsid w:val="0087590B"/>
    <w:rsid w:val="00877A7A"/>
    <w:rsid w:val="00877D54"/>
    <w:rsid w:val="00880394"/>
    <w:rsid w:val="0088208A"/>
    <w:rsid w:val="00882EAC"/>
    <w:rsid w:val="0088306B"/>
    <w:rsid w:val="00883B41"/>
    <w:rsid w:val="008874FC"/>
    <w:rsid w:val="0088798F"/>
    <w:rsid w:val="00890B69"/>
    <w:rsid w:val="0089248A"/>
    <w:rsid w:val="008933DC"/>
    <w:rsid w:val="008936B3"/>
    <w:rsid w:val="00893890"/>
    <w:rsid w:val="00894515"/>
    <w:rsid w:val="008958D8"/>
    <w:rsid w:val="00896489"/>
    <w:rsid w:val="008976A7"/>
    <w:rsid w:val="008A0E63"/>
    <w:rsid w:val="008A114F"/>
    <w:rsid w:val="008A2257"/>
    <w:rsid w:val="008A33CE"/>
    <w:rsid w:val="008B1F88"/>
    <w:rsid w:val="008B298E"/>
    <w:rsid w:val="008B2B89"/>
    <w:rsid w:val="008B31AB"/>
    <w:rsid w:val="008B31D3"/>
    <w:rsid w:val="008B333F"/>
    <w:rsid w:val="008B383F"/>
    <w:rsid w:val="008B38AD"/>
    <w:rsid w:val="008B3FBF"/>
    <w:rsid w:val="008B44DA"/>
    <w:rsid w:val="008B4A06"/>
    <w:rsid w:val="008B5C9A"/>
    <w:rsid w:val="008B5CEA"/>
    <w:rsid w:val="008B694C"/>
    <w:rsid w:val="008C00E7"/>
    <w:rsid w:val="008C0F42"/>
    <w:rsid w:val="008C1EF2"/>
    <w:rsid w:val="008C3B68"/>
    <w:rsid w:val="008C5253"/>
    <w:rsid w:val="008C5686"/>
    <w:rsid w:val="008C65AC"/>
    <w:rsid w:val="008C6BFB"/>
    <w:rsid w:val="008C6D1F"/>
    <w:rsid w:val="008C7321"/>
    <w:rsid w:val="008C74DA"/>
    <w:rsid w:val="008C7C59"/>
    <w:rsid w:val="008D094A"/>
    <w:rsid w:val="008D1E99"/>
    <w:rsid w:val="008D6465"/>
    <w:rsid w:val="008E150C"/>
    <w:rsid w:val="008E1EFC"/>
    <w:rsid w:val="008E4F5C"/>
    <w:rsid w:val="008E58BF"/>
    <w:rsid w:val="008F0512"/>
    <w:rsid w:val="008F1A81"/>
    <w:rsid w:val="008F3B73"/>
    <w:rsid w:val="008F7D0D"/>
    <w:rsid w:val="00900CE5"/>
    <w:rsid w:val="00902C6A"/>
    <w:rsid w:val="00904CA9"/>
    <w:rsid w:val="00905911"/>
    <w:rsid w:val="00906090"/>
    <w:rsid w:val="00906476"/>
    <w:rsid w:val="00906A9A"/>
    <w:rsid w:val="00907061"/>
    <w:rsid w:val="00907834"/>
    <w:rsid w:val="0090788B"/>
    <w:rsid w:val="009079B2"/>
    <w:rsid w:val="009118A0"/>
    <w:rsid w:val="00913D48"/>
    <w:rsid w:val="009145F6"/>
    <w:rsid w:val="00917246"/>
    <w:rsid w:val="00917547"/>
    <w:rsid w:val="0091759A"/>
    <w:rsid w:val="00920540"/>
    <w:rsid w:val="00920F36"/>
    <w:rsid w:val="00922697"/>
    <w:rsid w:val="00922F8C"/>
    <w:rsid w:val="0092325A"/>
    <w:rsid w:val="00924BD8"/>
    <w:rsid w:val="009262FA"/>
    <w:rsid w:val="00927A82"/>
    <w:rsid w:val="009314DA"/>
    <w:rsid w:val="00931700"/>
    <w:rsid w:val="00933951"/>
    <w:rsid w:val="00935B43"/>
    <w:rsid w:val="009364E2"/>
    <w:rsid w:val="009371D6"/>
    <w:rsid w:val="00937BFF"/>
    <w:rsid w:val="009410FA"/>
    <w:rsid w:val="009430F7"/>
    <w:rsid w:val="00945D30"/>
    <w:rsid w:val="00946916"/>
    <w:rsid w:val="00947045"/>
    <w:rsid w:val="009475A6"/>
    <w:rsid w:val="00950C28"/>
    <w:rsid w:val="00951993"/>
    <w:rsid w:val="0095216E"/>
    <w:rsid w:val="00953E57"/>
    <w:rsid w:val="00954CC0"/>
    <w:rsid w:val="00955C25"/>
    <w:rsid w:val="00956BB5"/>
    <w:rsid w:val="00957676"/>
    <w:rsid w:val="009621B2"/>
    <w:rsid w:val="00963A1A"/>
    <w:rsid w:val="00963E1E"/>
    <w:rsid w:val="00964590"/>
    <w:rsid w:val="0096654A"/>
    <w:rsid w:val="009677E3"/>
    <w:rsid w:val="00971187"/>
    <w:rsid w:val="00971196"/>
    <w:rsid w:val="00973755"/>
    <w:rsid w:val="00976040"/>
    <w:rsid w:val="00980736"/>
    <w:rsid w:val="00981704"/>
    <w:rsid w:val="0098182C"/>
    <w:rsid w:val="00983F39"/>
    <w:rsid w:val="00984390"/>
    <w:rsid w:val="00985839"/>
    <w:rsid w:val="00992952"/>
    <w:rsid w:val="00992D61"/>
    <w:rsid w:val="00995C91"/>
    <w:rsid w:val="00995EE7"/>
    <w:rsid w:val="00996652"/>
    <w:rsid w:val="00996BF1"/>
    <w:rsid w:val="00997009"/>
    <w:rsid w:val="0099745E"/>
    <w:rsid w:val="009A03A3"/>
    <w:rsid w:val="009A2ACF"/>
    <w:rsid w:val="009A481E"/>
    <w:rsid w:val="009A5D1F"/>
    <w:rsid w:val="009B06F1"/>
    <w:rsid w:val="009B3397"/>
    <w:rsid w:val="009B34F2"/>
    <w:rsid w:val="009B3C36"/>
    <w:rsid w:val="009B51E3"/>
    <w:rsid w:val="009B5654"/>
    <w:rsid w:val="009B7220"/>
    <w:rsid w:val="009B76CB"/>
    <w:rsid w:val="009B7D6C"/>
    <w:rsid w:val="009C04EB"/>
    <w:rsid w:val="009C1AD6"/>
    <w:rsid w:val="009C28E1"/>
    <w:rsid w:val="009C2915"/>
    <w:rsid w:val="009C2E55"/>
    <w:rsid w:val="009C3D06"/>
    <w:rsid w:val="009C3DB4"/>
    <w:rsid w:val="009C3F13"/>
    <w:rsid w:val="009C43FC"/>
    <w:rsid w:val="009C5A80"/>
    <w:rsid w:val="009C5F03"/>
    <w:rsid w:val="009C7C8F"/>
    <w:rsid w:val="009D0450"/>
    <w:rsid w:val="009D1594"/>
    <w:rsid w:val="009D1FBA"/>
    <w:rsid w:val="009D332F"/>
    <w:rsid w:val="009D580B"/>
    <w:rsid w:val="009D6294"/>
    <w:rsid w:val="009E05B6"/>
    <w:rsid w:val="009E590F"/>
    <w:rsid w:val="009E6ACF"/>
    <w:rsid w:val="009F0C32"/>
    <w:rsid w:val="009F461F"/>
    <w:rsid w:val="00A006D3"/>
    <w:rsid w:val="00A01305"/>
    <w:rsid w:val="00A01EEF"/>
    <w:rsid w:val="00A0259C"/>
    <w:rsid w:val="00A036CB"/>
    <w:rsid w:val="00A0546A"/>
    <w:rsid w:val="00A061CA"/>
    <w:rsid w:val="00A06AAA"/>
    <w:rsid w:val="00A07A49"/>
    <w:rsid w:val="00A10E38"/>
    <w:rsid w:val="00A12ECE"/>
    <w:rsid w:val="00A135B3"/>
    <w:rsid w:val="00A1434D"/>
    <w:rsid w:val="00A14953"/>
    <w:rsid w:val="00A167B9"/>
    <w:rsid w:val="00A16CDB"/>
    <w:rsid w:val="00A176A1"/>
    <w:rsid w:val="00A17DB5"/>
    <w:rsid w:val="00A20A09"/>
    <w:rsid w:val="00A20C64"/>
    <w:rsid w:val="00A22A14"/>
    <w:rsid w:val="00A23526"/>
    <w:rsid w:val="00A27149"/>
    <w:rsid w:val="00A2793B"/>
    <w:rsid w:val="00A30105"/>
    <w:rsid w:val="00A31ADE"/>
    <w:rsid w:val="00A348D2"/>
    <w:rsid w:val="00A35D3C"/>
    <w:rsid w:val="00A3616F"/>
    <w:rsid w:val="00A377FE"/>
    <w:rsid w:val="00A41C95"/>
    <w:rsid w:val="00A43393"/>
    <w:rsid w:val="00A442F1"/>
    <w:rsid w:val="00A46ABD"/>
    <w:rsid w:val="00A46C18"/>
    <w:rsid w:val="00A470CE"/>
    <w:rsid w:val="00A50344"/>
    <w:rsid w:val="00A503E9"/>
    <w:rsid w:val="00A50E65"/>
    <w:rsid w:val="00A52058"/>
    <w:rsid w:val="00A52E2E"/>
    <w:rsid w:val="00A55536"/>
    <w:rsid w:val="00A5613C"/>
    <w:rsid w:val="00A56CA0"/>
    <w:rsid w:val="00A570EE"/>
    <w:rsid w:val="00A57C48"/>
    <w:rsid w:val="00A57EB2"/>
    <w:rsid w:val="00A608F5"/>
    <w:rsid w:val="00A62463"/>
    <w:rsid w:val="00A6391E"/>
    <w:rsid w:val="00A63C0B"/>
    <w:rsid w:val="00A649D3"/>
    <w:rsid w:val="00A656FD"/>
    <w:rsid w:val="00A6645C"/>
    <w:rsid w:val="00A66A68"/>
    <w:rsid w:val="00A67837"/>
    <w:rsid w:val="00A70863"/>
    <w:rsid w:val="00A727FC"/>
    <w:rsid w:val="00A72E35"/>
    <w:rsid w:val="00A7300A"/>
    <w:rsid w:val="00A7414F"/>
    <w:rsid w:val="00A7627C"/>
    <w:rsid w:val="00A81405"/>
    <w:rsid w:val="00A82114"/>
    <w:rsid w:val="00A82FF0"/>
    <w:rsid w:val="00A83207"/>
    <w:rsid w:val="00A83BED"/>
    <w:rsid w:val="00A8488F"/>
    <w:rsid w:val="00A85DA3"/>
    <w:rsid w:val="00A92670"/>
    <w:rsid w:val="00A96434"/>
    <w:rsid w:val="00AA2944"/>
    <w:rsid w:val="00AA3179"/>
    <w:rsid w:val="00AB0B41"/>
    <w:rsid w:val="00AB1635"/>
    <w:rsid w:val="00AB297D"/>
    <w:rsid w:val="00AB759C"/>
    <w:rsid w:val="00AB7830"/>
    <w:rsid w:val="00AC031E"/>
    <w:rsid w:val="00AC31F2"/>
    <w:rsid w:val="00AC35C4"/>
    <w:rsid w:val="00AC3DCF"/>
    <w:rsid w:val="00AC4154"/>
    <w:rsid w:val="00AC587E"/>
    <w:rsid w:val="00AD1058"/>
    <w:rsid w:val="00AD18B4"/>
    <w:rsid w:val="00AD4FB0"/>
    <w:rsid w:val="00AD7F13"/>
    <w:rsid w:val="00AE117D"/>
    <w:rsid w:val="00AE1842"/>
    <w:rsid w:val="00AE1843"/>
    <w:rsid w:val="00AE23F9"/>
    <w:rsid w:val="00AE2430"/>
    <w:rsid w:val="00AE4000"/>
    <w:rsid w:val="00AE52CE"/>
    <w:rsid w:val="00AE5452"/>
    <w:rsid w:val="00AE5EF5"/>
    <w:rsid w:val="00AE6188"/>
    <w:rsid w:val="00AE7AF0"/>
    <w:rsid w:val="00AF4AE5"/>
    <w:rsid w:val="00AF5D1E"/>
    <w:rsid w:val="00AF6D11"/>
    <w:rsid w:val="00B01B17"/>
    <w:rsid w:val="00B04103"/>
    <w:rsid w:val="00B047E9"/>
    <w:rsid w:val="00B05867"/>
    <w:rsid w:val="00B07BDD"/>
    <w:rsid w:val="00B10EC0"/>
    <w:rsid w:val="00B123FF"/>
    <w:rsid w:val="00B134B6"/>
    <w:rsid w:val="00B142F4"/>
    <w:rsid w:val="00B16061"/>
    <w:rsid w:val="00B1645D"/>
    <w:rsid w:val="00B16CC2"/>
    <w:rsid w:val="00B17C66"/>
    <w:rsid w:val="00B17DAF"/>
    <w:rsid w:val="00B17E1E"/>
    <w:rsid w:val="00B21C56"/>
    <w:rsid w:val="00B24AE7"/>
    <w:rsid w:val="00B25103"/>
    <w:rsid w:val="00B27A8F"/>
    <w:rsid w:val="00B27B2E"/>
    <w:rsid w:val="00B31D2B"/>
    <w:rsid w:val="00B31E2C"/>
    <w:rsid w:val="00B32E44"/>
    <w:rsid w:val="00B336AA"/>
    <w:rsid w:val="00B34173"/>
    <w:rsid w:val="00B362ED"/>
    <w:rsid w:val="00B4166B"/>
    <w:rsid w:val="00B418ED"/>
    <w:rsid w:val="00B42554"/>
    <w:rsid w:val="00B42703"/>
    <w:rsid w:val="00B43502"/>
    <w:rsid w:val="00B4391E"/>
    <w:rsid w:val="00B43ED0"/>
    <w:rsid w:val="00B45081"/>
    <w:rsid w:val="00B4549F"/>
    <w:rsid w:val="00B46290"/>
    <w:rsid w:val="00B46384"/>
    <w:rsid w:val="00B503D0"/>
    <w:rsid w:val="00B513B4"/>
    <w:rsid w:val="00B514DC"/>
    <w:rsid w:val="00B522AA"/>
    <w:rsid w:val="00B60A84"/>
    <w:rsid w:val="00B60AED"/>
    <w:rsid w:val="00B60B0D"/>
    <w:rsid w:val="00B627D5"/>
    <w:rsid w:val="00B62AB3"/>
    <w:rsid w:val="00B63B5B"/>
    <w:rsid w:val="00B64E9D"/>
    <w:rsid w:val="00B678D4"/>
    <w:rsid w:val="00B708E8"/>
    <w:rsid w:val="00B734FD"/>
    <w:rsid w:val="00B738CA"/>
    <w:rsid w:val="00B7404A"/>
    <w:rsid w:val="00B75AC6"/>
    <w:rsid w:val="00B8144B"/>
    <w:rsid w:val="00B81F91"/>
    <w:rsid w:val="00B839BA"/>
    <w:rsid w:val="00B8685C"/>
    <w:rsid w:val="00B86A2D"/>
    <w:rsid w:val="00B86C35"/>
    <w:rsid w:val="00B86DD8"/>
    <w:rsid w:val="00B87C14"/>
    <w:rsid w:val="00B92703"/>
    <w:rsid w:val="00B93072"/>
    <w:rsid w:val="00B94EFB"/>
    <w:rsid w:val="00B9564E"/>
    <w:rsid w:val="00B96525"/>
    <w:rsid w:val="00B97C18"/>
    <w:rsid w:val="00B97EC1"/>
    <w:rsid w:val="00BA1692"/>
    <w:rsid w:val="00BA1BBA"/>
    <w:rsid w:val="00BA2267"/>
    <w:rsid w:val="00BA2E58"/>
    <w:rsid w:val="00BA3C49"/>
    <w:rsid w:val="00BA5315"/>
    <w:rsid w:val="00BA54F1"/>
    <w:rsid w:val="00BA7A87"/>
    <w:rsid w:val="00BB07FC"/>
    <w:rsid w:val="00BB0B67"/>
    <w:rsid w:val="00BB2970"/>
    <w:rsid w:val="00BC34F6"/>
    <w:rsid w:val="00BC4EF0"/>
    <w:rsid w:val="00BC6E99"/>
    <w:rsid w:val="00BC7C00"/>
    <w:rsid w:val="00BD0CA7"/>
    <w:rsid w:val="00BD1EFB"/>
    <w:rsid w:val="00BD223A"/>
    <w:rsid w:val="00BD57C8"/>
    <w:rsid w:val="00BD5879"/>
    <w:rsid w:val="00BD5A0C"/>
    <w:rsid w:val="00BD5B58"/>
    <w:rsid w:val="00BD73F1"/>
    <w:rsid w:val="00BE0E15"/>
    <w:rsid w:val="00BE3D8C"/>
    <w:rsid w:val="00BE4D14"/>
    <w:rsid w:val="00BE5CF2"/>
    <w:rsid w:val="00BE72E5"/>
    <w:rsid w:val="00BF067E"/>
    <w:rsid w:val="00BF22E7"/>
    <w:rsid w:val="00BF2883"/>
    <w:rsid w:val="00BF63CC"/>
    <w:rsid w:val="00BF6A00"/>
    <w:rsid w:val="00BF6FA9"/>
    <w:rsid w:val="00BF7497"/>
    <w:rsid w:val="00BF7C90"/>
    <w:rsid w:val="00C000AC"/>
    <w:rsid w:val="00C00429"/>
    <w:rsid w:val="00C02033"/>
    <w:rsid w:val="00C05FD9"/>
    <w:rsid w:val="00C06BBC"/>
    <w:rsid w:val="00C06C54"/>
    <w:rsid w:val="00C07949"/>
    <w:rsid w:val="00C105ED"/>
    <w:rsid w:val="00C109F0"/>
    <w:rsid w:val="00C11925"/>
    <w:rsid w:val="00C120C1"/>
    <w:rsid w:val="00C129D7"/>
    <w:rsid w:val="00C13AC2"/>
    <w:rsid w:val="00C16BE6"/>
    <w:rsid w:val="00C20BEA"/>
    <w:rsid w:val="00C21E38"/>
    <w:rsid w:val="00C241D4"/>
    <w:rsid w:val="00C2433C"/>
    <w:rsid w:val="00C24C84"/>
    <w:rsid w:val="00C24D43"/>
    <w:rsid w:val="00C24F5B"/>
    <w:rsid w:val="00C250E8"/>
    <w:rsid w:val="00C26014"/>
    <w:rsid w:val="00C264F8"/>
    <w:rsid w:val="00C27BA5"/>
    <w:rsid w:val="00C27D23"/>
    <w:rsid w:val="00C31313"/>
    <w:rsid w:val="00C32874"/>
    <w:rsid w:val="00C33E7B"/>
    <w:rsid w:val="00C37286"/>
    <w:rsid w:val="00C41668"/>
    <w:rsid w:val="00C4206E"/>
    <w:rsid w:val="00C431FA"/>
    <w:rsid w:val="00C43488"/>
    <w:rsid w:val="00C44F7A"/>
    <w:rsid w:val="00C452D9"/>
    <w:rsid w:val="00C45666"/>
    <w:rsid w:val="00C47754"/>
    <w:rsid w:val="00C47D30"/>
    <w:rsid w:val="00C500E2"/>
    <w:rsid w:val="00C5024B"/>
    <w:rsid w:val="00C54452"/>
    <w:rsid w:val="00C557BA"/>
    <w:rsid w:val="00C56774"/>
    <w:rsid w:val="00C5784C"/>
    <w:rsid w:val="00C600E8"/>
    <w:rsid w:val="00C62ECF"/>
    <w:rsid w:val="00C64618"/>
    <w:rsid w:val="00C70D0F"/>
    <w:rsid w:val="00C7219E"/>
    <w:rsid w:val="00C72DAA"/>
    <w:rsid w:val="00C745D1"/>
    <w:rsid w:val="00C7758D"/>
    <w:rsid w:val="00C77777"/>
    <w:rsid w:val="00C82B5D"/>
    <w:rsid w:val="00C8318D"/>
    <w:rsid w:val="00C83387"/>
    <w:rsid w:val="00C83AA5"/>
    <w:rsid w:val="00C83C98"/>
    <w:rsid w:val="00C8761B"/>
    <w:rsid w:val="00C8762A"/>
    <w:rsid w:val="00C913FF"/>
    <w:rsid w:val="00C941AD"/>
    <w:rsid w:val="00C9639A"/>
    <w:rsid w:val="00C97DC8"/>
    <w:rsid w:val="00CA04A9"/>
    <w:rsid w:val="00CA424D"/>
    <w:rsid w:val="00CA4CBC"/>
    <w:rsid w:val="00CA6175"/>
    <w:rsid w:val="00CA6DB5"/>
    <w:rsid w:val="00CA74D2"/>
    <w:rsid w:val="00CA77AC"/>
    <w:rsid w:val="00CA7C5D"/>
    <w:rsid w:val="00CB089A"/>
    <w:rsid w:val="00CB0974"/>
    <w:rsid w:val="00CB4525"/>
    <w:rsid w:val="00CB4FB7"/>
    <w:rsid w:val="00CB5719"/>
    <w:rsid w:val="00CB596E"/>
    <w:rsid w:val="00CB6DEB"/>
    <w:rsid w:val="00CB72AF"/>
    <w:rsid w:val="00CB7359"/>
    <w:rsid w:val="00CC0133"/>
    <w:rsid w:val="00CC0B13"/>
    <w:rsid w:val="00CC0BE0"/>
    <w:rsid w:val="00CC18C3"/>
    <w:rsid w:val="00CC4530"/>
    <w:rsid w:val="00CC56BB"/>
    <w:rsid w:val="00CC63DD"/>
    <w:rsid w:val="00CC6CA7"/>
    <w:rsid w:val="00CD18B1"/>
    <w:rsid w:val="00CD1D5F"/>
    <w:rsid w:val="00CD28D1"/>
    <w:rsid w:val="00CD30D0"/>
    <w:rsid w:val="00CD54A9"/>
    <w:rsid w:val="00CE124A"/>
    <w:rsid w:val="00CE2A97"/>
    <w:rsid w:val="00CE370A"/>
    <w:rsid w:val="00CE45DD"/>
    <w:rsid w:val="00CE4D2A"/>
    <w:rsid w:val="00CF0155"/>
    <w:rsid w:val="00CF15DB"/>
    <w:rsid w:val="00CF2C23"/>
    <w:rsid w:val="00CF2EC3"/>
    <w:rsid w:val="00CF3927"/>
    <w:rsid w:val="00CF39E9"/>
    <w:rsid w:val="00CF44B0"/>
    <w:rsid w:val="00CF4C62"/>
    <w:rsid w:val="00CF4DED"/>
    <w:rsid w:val="00CF79CE"/>
    <w:rsid w:val="00D00B5B"/>
    <w:rsid w:val="00D0502F"/>
    <w:rsid w:val="00D0697C"/>
    <w:rsid w:val="00D07F62"/>
    <w:rsid w:val="00D10B90"/>
    <w:rsid w:val="00D113F1"/>
    <w:rsid w:val="00D118DA"/>
    <w:rsid w:val="00D12387"/>
    <w:rsid w:val="00D12577"/>
    <w:rsid w:val="00D13663"/>
    <w:rsid w:val="00D13E3F"/>
    <w:rsid w:val="00D149A1"/>
    <w:rsid w:val="00D17B15"/>
    <w:rsid w:val="00D20884"/>
    <w:rsid w:val="00D20D3E"/>
    <w:rsid w:val="00D22687"/>
    <w:rsid w:val="00D25C07"/>
    <w:rsid w:val="00D260E2"/>
    <w:rsid w:val="00D26951"/>
    <w:rsid w:val="00D2779E"/>
    <w:rsid w:val="00D325C8"/>
    <w:rsid w:val="00D32759"/>
    <w:rsid w:val="00D340A4"/>
    <w:rsid w:val="00D340CA"/>
    <w:rsid w:val="00D34291"/>
    <w:rsid w:val="00D404D5"/>
    <w:rsid w:val="00D40A73"/>
    <w:rsid w:val="00D40EA0"/>
    <w:rsid w:val="00D4162D"/>
    <w:rsid w:val="00D4240E"/>
    <w:rsid w:val="00D42F1B"/>
    <w:rsid w:val="00D4392D"/>
    <w:rsid w:val="00D45F62"/>
    <w:rsid w:val="00D5110F"/>
    <w:rsid w:val="00D513E0"/>
    <w:rsid w:val="00D5168F"/>
    <w:rsid w:val="00D524BC"/>
    <w:rsid w:val="00D546FB"/>
    <w:rsid w:val="00D6135D"/>
    <w:rsid w:val="00D61844"/>
    <w:rsid w:val="00D61AA5"/>
    <w:rsid w:val="00D652FC"/>
    <w:rsid w:val="00D71699"/>
    <w:rsid w:val="00D73493"/>
    <w:rsid w:val="00D74098"/>
    <w:rsid w:val="00D74264"/>
    <w:rsid w:val="00D749C9"/>
    <w:rsid w:val="00D74DEF"/>
    <w:rsid w:val="00D777C4"/>
    <w:rsid w:val="00D8102F"/>
    <w:rsid w:val="00D81C1F"/>
    <w:rsid w:val="00D83636"/>
    <w:rsid w:val="00D85F98"/>
    <w:rsid w:val="00D86455"/>
    <w:rsid w:val="00D869C3"/>
    <w:rsid w:val="00D905D5"/>
    <w:rsid w:val="00D91AE1"/>
    <w:rsid w:val="00DA4689"/>
    <w:rsid w:val="00DA474C"/>
    <w:rsid w:val="00DA4891"/>
    <w:rsid w:val="00DA4926"/>
    <w:rsid w:val="00DA6B7D"/>
    <w:rsid w:val="00DB02C0"/>
    <w:rsid w:val="00DB0357"/>
    <w:rsid w:val="00DB2227"/>
    <w:rsid w:val="00DB23F6"/>
    <w:rsid w:val="00DB284F"/>
    <w:rsid w:val="00DB5D01"/>
    <w:rsid w:val="00DB79E4"/>
    <w:rsid w:val="00DC06A4"/>
    <w:rsid w:val="00DC0ACA"/>
    <w:rsid w:val="00DC2BF8"/>
    <w:rsid w:val="00DC3459"/>
    <w:rsid w:val="00DC3B22"/>
    <w:rsid w:val="00DD26E3"/>
    <w:rsid w:val="00DD7636"/>
    <w:rsid w:val="00DE16CD"/>
    <w:rsid w:val="00DE32E5"/>
    <w:rsid w:val="00DE3605"/>
    <w:rsid w:val="00DE3946"/>
    <w:rsid w:val="00DE44DB"/>
    <w:rsid w:val="00DE4881"/>
    <w:rsid w:val="00DE5661"/>
    <w:rsid w:val="00DF09B1"/>
    <w:rsid w:val="00DF14B9"/>
    <w:rsid w:val="00DF26B2"/>
    <w:rsid w:val="00DF5762"/>
    <w:rsid w:val="00DF73C4"/>
    <w:rsid w:val="00E00BB7"/>
    <w:rsid w:val="00E0292B"/>
    <w:rsid w:val="00E0320C"/>
    <w:rsid w:val="00E03565"/>
    <w:rsid w:val="00E03DC4"/>
    <w:rsid w:val="00E042A9"/>
    <w:rsid w:val="00E05889"/>
    <w:rsid w:val="00E05FC9"/>
    <w:rsid w:val="00E06183"/>
    <w:rsid w:val="00E072D8"/>
    <w:rsid w:val="00E10832"/>
    <w:rsid w:val="00E10C0D"/>
    <w:rsid w:val="00E117C6"/>
    <w:rsid w:val="00E11F6A"/>
    <w:rsid w:val="00E12E6A"/>
    <w:rsid w:val="00E14666"/>
    <w:rsid w:val="00E14EC2"/>
    <w:rsid w:val="00E15A03"/>
    <w:rsid w:val="00E167E1"/>
    <w:rsid w:val="00E21E8C"/>
    <w:rsid w:val="00E228D6"/>
    <w:rsid w:val="00E250B5"/>
    <w:rsid w:val="00E2708D"/>
    <w:rsid w:val="00E270E6"/>
    <w:rsid w:val="00E2770A"/>
    <w:rsid w:val="00E33737"/>
    <w:rsid w:val="00E33CD1"/>
    <w:rsid w:val="00E40F6F"/>
    <w:rsid w:val="00E44250"/>
    <w:rsid w:val="00E47E96"/>
    <w:rsid w:val="00E53631"/>
    <w:rsid w:val="00E5420C"/>
    <w:rsid w:val="00E56339"/>
    <w:rsid w:val="00E56ECC"/>
    <w:rsid w:val="00E572EF"/>
    <w:rsid w:val="00E57FEE"/>
    <w:rsid w:val="00E629C3"/>
    <w:rsid w:val="00E63001"/>
    <w:rsid w:val="00E667B4"/>
    <w:rsid w:val="00E715FD"/>
    <w:rsid w:val="00E71601"/>
    <w:rsid w:val="00E71F11"/>
    <w:rsid w:val="00E729F5"/>
    <w:rsid w:val="00E736B3"/>
    <w:rsid w:val="00E73C8D"/>
    <w:rsid w:val="00E758D8"/>
    <w:rsid w:val="00E76BE0"/>
    <w:rsid w:val="00E7728D"/>
    <w:rsid w:val="00E7795C"/>
    <w:rsid w:val="00E77F48"/>
    <w:rsid w:val="00E83C37"/>
    <w:rsid w:val="00E87B8E"/>
    <w:rsid w:val="00E900D1"/>
    <w:rsid w:val="00E90673"/>
    <w:rsid w:val="00E92149"/>
    <w:rsid w:val="00E926EA"/>
    <w:rsid w:val="00E932CE"/>
    <w:rsid w:val="00E9330B"/>
    <w:rsid w:val="00E937F2"/>
    <w:rsid w:val="00E96BC6"/>
    <w:rsid w:val="00E976C6"/>
    <w:rsid w:val="00EA00F3"/>
    <w:rsid w:val="00EA07A3"/>
    <w:rsid w:val="00EA1938"/>
    <w:rsid w:val="00EA3A4B"/>
    <w:rsid w:val="00EA4F03"/>
    <w:rsid w:val="00EA6C48"/>
    <w:rsid w:val="00EA71E1"/>
    <w:rsid w:val="00EB0AE8"/>
    <w:rsid w:val="00EB26CD"/>
    <w:rsid w:val="00EB3306"/>
    <w:rsid w:val="00EB3FB0"/>
    <w:rsid w:val="00EB435C"/>
    <w:rsid w:val="00EB4C4B"/>
    <w:rsid w:val="00EB5A09"/>
    <w:rsid w:val="00EB5B49"/>
    <w:rsid w:val="00EB6DDD"/>
    <w:rsid w:val="00EB6E94"/>
    <w:rsid w:val="00EC1C37"/>
    <w:rsid w:val="00EC4220"/>
    <w:rsid w:val="00EC4A33"/>
    <w:rsid w:val="00EC4A87"/>
    <w:rsid w:val="00EC6271"/>
    <w:rsid w:val="00EC7556"/>
    <w:rsid w:val="00EC7A99"/>
    <w:rsid w:val="00ED086D"/>
    <w:rsid w:val="00ED0F0B"/>
    <w:rsid w:val="00ED1036"/>
    <w:rsid w:val="00ED2EBC"/>
    <w:rsid w:val="00ED4755"/>
    <w:rsid w:val="00ED584C"/>
    <w:rsid w:val="00ED7431"/>
    <w:rsid w:val="00EE2179"/>
    <w:rsid w:val="00EE2381"/>
    <w:rsid w:val="00EE3BFD"/>
    <w:rsid w:val="00EE5A58"/>
    <w:rsid w:val="00EE64AA"/>
    <w:rsid w:val="00EE77EC"/>
    <w:rsid w:val="00EF0CFD"/>
    <w:rsid w:val="00EF0E9B"/>
    <w:rsid w:val="00EF1BA6"/>
    <w:rsid w:val="00EF4866"/>
    <w:rsid w:val="00EF6708"/>
    <w:rsid w:val="00EF6DD7"/>
    <w:rsid w:val="00EF754F"/>
    <w:rsid w:val="00F004E9"/>
    <w:rsid w:val="00F010EE"/>
    <w:rsid w:val="00F0467A"/>
    <w:rsid w:val="00F0649C"/>
    <w:rsid w:val="00F07952"/>
    <w:rsid w:val="00F20E61"/>
    <w:rsid w:val="00F2303B"/>
    <w:rsid w:val="00F238B5"/>
    <w:rsid w:val="00F257D4"/>
    <w:rsid w:val="00F25A44"/>
    <w:rsid w:val="00F26811"/>
    <w:rsid w:val="00F26C08"/>
    <w:rsid w:val="00F336CC"/>
    <w:rsid w:val="00F33EFF"/>
    <w:rsid w:val="00F34FD9"/>
    <w:rsid w:val="00F36121"/>
    <w:rsid w:val="00F36EA1"/>
    <w:rsid w:val="00F3743A"/>
    <w:rsid w:val="00F37FA5"/>
    <w:rsid w:val="00F40144"/>
    <w:rsid w:val="00F40265"/>
    <w:rsid w:val="00F42DF2"/>
    <w:rsid w:val="00F44415"/>
    <w:rsid w:val="00F44691"/>
    <w:rsid w:val="00F448CA"/>
    <w:rsid w:val="00F45123"/>
    <w:rsid w:val="00F4578F"/>
    <w:rsid w:val="00F46149"/>
    <w:rsid w:val="00F46952"/>
    <w:rsid w:val="00F50086"/>
    <w:rsid w:val="00F52603"/>
    <w:rsid w:val="00F52760"/>
    <w:rsid w:val="00F52E2D"/>
    <w:rsid w:val="00F608C1"/>
    <w:rsid w:val="00F60A53"/>
    <w:rsid w:val="00F61230"/>
    <w:rsid w:val="00F62F45"/>
    <w:rsid w:val="00F6309B"/>
    <w:rsid w:val="00F64615"/>
    <w:rsid w:val="00F65669"/>
    <w:rsid w:val="00F65E67"/>
    <w:rsid w:val="00F701B3"/>
    <w:rsid w:val="00F7123B"/>
    <w:rsid w:val="00F71993"/>
    <w:rsid w:val="00F72BBB"/>
    <w:rsid w:val="00F735E8"/>
    <w:rsid w:val="00F739F2"/>
    <w:rsid w:val="00F73CCF"/>
    <w:rsid w:val="00F74FE5"/>
    <w:rsid w:val="00F750B6"/>
    <w:rsid w:val="00F76B07"/>
    <w:rsid w:val="00F80AE3"/>
    <w:rsid w:val="00F8360A"/>
    <w:rsid w:val="00F849DF"/>
    <w:rsid w:val="00F8600D"/>
    <w:rsid w:val="00F91D8A"/>
    <w:rsid w:val="00F93915"/>
    <w:rsid w:val="00F94304"/>
    <w:rsid w:val="00F943F5"/>
    <w:rsid w:val="00F94501"/>
    <w:rsid w:val="00F94AF9"/>
    <w:rsid w:val="00F94F1B"/>
    <w:rsid w:val="00F957AF"/>
    <w:rsid w:val="00F96174"/>
    <w:rsid w:val="00FA08E4"/>
    <w:rsid w:val="00FA2515"/>
    <w:rsid w:val="00FA269B"/>
    <w:rsid w:val="00FA340A"/>
    <w:rsid w:val="00FA4F9B"/>
    <w:rsid w:val="00FA5DAA"/>
    <w:rsid w:val="00FA710D"/>
    <w:rsid w:val="00FB0D18"/>
    <w:rsid w:val="00FB0D71"/>
    <w:rsid w:val="00FB1517"/>
    <w:rsid w:val="00FB390F"/>
    <w:rsid w:val="00FB4712"/>
    <w:rsid w:val="00FB582F"/>
    <w:rsid w:val="00FB6B5D"/>
    <w:rsid w:val="00FC082C"/>
    <w:rsid w:val="00FC2426"/>
    <w:rsid w:val="00FC3210"/>
    <w:rsid w:val="00FC3827"/>
    <w:rsid w:val="00FC3AF0"/>
    <w:rsid w:val="00FC3BFD"/>
    <w:rsid w:val="00FC4B9F"/>
    <w:rsid w:val="00FC4DD0"/>
    <w:rsid w:val="00FC6110"/>
    <w:rsid w:val="00FC6196"/>
    <w:rsid w:val="00FC654F"/>
    <w:rsid w:val="00FC77AF"/>
    <w:rsid w:val="00FC79C6"/>
    <w:rsid w:val="00FD00C2"/>
    <w:rsid w:val="00FD1226"/>
    <w:rsid w:val="00FD620B"/>
    <w:rsid w:val="00FD6B02"/>
    <w:rsid w:val="00FE0B7F"/>
    <w:rsid w:val="00FE0F32"/>
    <w:rsid w:val="00FE11DF"/>
    <w:rsid w:val="00FE2E9C"/>
    <w:rsid w:val="00FE62AA"/>
    <w:rsid w:val="00FF047B"/>
    <w:rsid w:val="00FF2F1A"/>
    <w:rsid w:val="00FF2FB9"/>
    <w:rsid w:val="00FF364F"/>
    <w:rsid w:val="00FF7481"/>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EA60E4"/>
  <w15:docId w15:val="{594DD133-0B83-4D94-8880-F04E7D744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4"/>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5"/>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6"/>
      </w:numPr>
      <w:spacing w:after="60"/>
      <w:outlineLvl w:val="4"/>
    </w:pPr>
    <w:rPr>
      <w:b/>
      <w:bCs/>
      <w:i/>
      <w:iCs/>
      <w:sz w:val="26"/>
      <w:szCs w:val="26"/>
    </w:rPr>
  </w:style>
  <w:style w:type="paragraph" w:styleId="Nadpis6">
    <w:name w:val="heading 6"/>
    <w:basedOn w:val="Normln"/>
    <w:next w:val="Normln"/>
    <w:qFormat/>
    <w:rsid w:val="00C5024B"/>
    <w:pPr>
      <w:numPr>
        <w:ilvl w:val="5"/>
        <w:numId w:val="6"/>
      </w:numPr>
      <w:spacing w:after="60"/>
      <w:outlineLvl w:val="5"/>
    </w:pPr>
    <w:rPr>
      <w:b/>
      <w:bCs/>
      <w:sz w:val="22"/>
      <w:szCs w:val="22"/>
    </w:rPr>
  </w:style>
  <w:style w:type="paragraph" w:styleId="Nadpis7">
    <w:name w:val="heading 7"/>
    <w:basedOn w:val="Normln"/>
    <w:next w:val="Normln"/>
    <w:qFormat/>
    <w:rsid w:val="00C5024B"/>
    <w:pPr>
      <w:numPr>
        <w:ilvl w:val="6"/>
        <w:numId w:val="6"/>
      </w:numPr>
      <w:spacing w:after="60"/>
      <w:outlineLvl w:val="6"/>
    </w:pPr>
  </w:style>
  <w:style w:type="paragraph" w:styleId="Nadpis8">
    <w:name w:val="heading 8"/>
    <w:basedOn w:val="Normln"/>
    <w:next w:val="Normln"/>
    <w:qFormat/>
    <w:rsid w:val="00C5024B"/>
    <w:pPr>
      <w:numPr>
        <w:ilvl w:val="7"/>
        <w:numId w:val="6"/>
      </w:numPr>
      <w:spacing w:after="60"/>
      <w:outlineLvl w:val="7"/>
    </w:pPr>
    <w:rPr>
      <w:i/>
      <w:iCs/>
    </w:rPr>
  </w:style>
  <w:style w:type="paragraph" w:styleId="Nadpis9">
    <w:name w:val="heading 9"/>
    <w:basedOn w:val="Normln"/>
    <w:next w:val="Normln"/>
    <w:qFormat/>
    <w:rsid w:val="00C5024B"/>
    <w:pPr>
      <w:numPr>
        <w:ilvl w:val="8"/>
        <w:numId w:val="6"/>
      </w:numPr>
      <w:spacing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22"/>
      </w:numPr>
      <w:spacing w:before="60"/>
    </w:pPr>
  </w:style>
  <w:style w:type="paragraph" w:customStyle="1" w:styleId="F4-slovn">
    <w:name w:val="F4 - číslování"/>
    <w:basedOn w:val="F2-zkladn"/>
    <w:rsid w:val="009C3F13"/>
    <w:pPr>
      <w:numPr>
        <w:numId w:val="20"/>
      </w:numPr>
      <w:spacing w:before="120" w:after="120"/>
    </w:pPr>
  </w:style>
  <w:style w:type="paragraph" w:customStyle="1" w:styleId="F6-kol">
    <w:name w:val="F6 - úkol"/>
    <w:basedOn w:val="F2-zkladn"/>
    <w:next w:val="F2-zkladn"/>
    <w:rsid w:val="006B13D4"/>
    <w:pPr>
      <w:numPr>
        <w:numId w:val="1"/>
      </w:numPr>
    </w:pPr>
    <w:rPr>
      <w:bCs/>
      <w:color w:val="0000FF"/>
    </w:rPr>
  </w:style>
  <w:style w:type="paragraph" w:customStyle="1" w:styleId="F5-psmena">
    <w:name w:val="F5 - písmena"/>
    <w:basedOn w:val="F2-zkladn"/>
    <w:rsid w:val="005D49F1"/>
    <w:pPr>
      <w:numPr>
        <w:numId w:val="21"/>
      </w:numPr>
      <w:spacing w:before="120" w:after="120"/>
    </w:pPr>
  </w:style>
  <w:style w:type="paragraph" w:customStyle="1" w:styleId="F7-chyba">
    <w:name w:val="F7 - chyba"/>
    <w:basedOn w:val="F2-zkladn"/>
    <w:next w:val="F2-zkladn"/>
    <w:rsid w:val="006B13D4"/>
    <w:pPr>
      <w:numPr>
        <w:numId w:val="2"/>
      </w:numPr>
    </w:pPr>
    <w:rPr>
      <w:color w:val="FF0000"/>
    </w:rPr>
  </w:style>
  <w:style w:type="paragraph" w:customStyle="1" w:styleId="F8-nadpis3">
    <w:name w:val="F8 - nadpis 3"/>
    <w:basedOn w:val="F2-zkladn"/>
    <w:next w:val="F2-zkladn"/>
    <w:rsid w:val="00C5024B"/>
    <w:pPr>
      <w:keepNext/>
      <w:keepLines/>
      <w:numPr>
        <w:ilvl w:val="2"/>
        <w:numId w:val="6"/>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6"/>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6"/>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3"/>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uiPriority w:val="39"/>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7"/>
      </w:numPr>
    </w:pPr>
  </w:style>
  <w:style w:type="numbering" w:styleId="1ai">
    <w:name w:val="Outline List 1"/>
    <w:basedOn w:val="Bezseznamu"/>
    <w:semiHidden/>
    <w:rsid w:val="00794E4C"/>
    <w:pPr>
      <w:numPr>
        <w:numId w:val="8"/>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9"/>
      </w:numPr>
    </w:pPr>
  </w:style>
  <w:style w:type="paragraph" w:styleId="slovanseznam2">
    <w:name w:val="List Number 2"/>
    <w:basedOn w:val="Normln"/>
    <w:semiHidden/>
    <w:rsid w:val="00794E4C"/>
    <w:pPr>
      <w:numPr>
        <w:numId w:val="10"/>
      </w:numPr>
    </w:pPr>
  </w:style>
  <w:style w:type="paragraph" w:styleId="slovanseznam3">
    <w:name w:val="List Number 3"/>
    <w:basedOn w:val="Normln"/>
    <w:semiHidden/>
    <w:rsid w:val="00794E4C"/>
    <w:pPr>
      <w:numPr>
        <w:numId w:val="11"/>
      </w:numPr>
    </w:pPr>
  </w:style>
  <w:style w:type="paragraph" w:styleId="slovanseznam4">
    <w:name w:val="List Number 4"/>
    <w:basedOn w:val="Normln"/>
    <w:semiHidden/>
    <w:rsid w:val="00794E4C"/>
    <w:pPr>
      <w:numPr>
        <w:numId w:val="12"/>
      </w:numPr>
    </w:pPr>
  </w:style>
  <w:style w:type="paragraph" w:styleId="slovanseznam5">
    <w:name w:val="List Number 5"/>
    <w:basedOn w:val="Normln"/>
    <w:semiHidden/>
    <w:rsid w:val="00794E4C"/>
    <w:pPr>
      <w:numPr>
        <w:numId w:val="13"/>
      </w:numPr>
    </w:pPr>
  </w:style>
  <w:style w:type="numbering" w:styleId="lnekoddl">
    <w:name w:val="Outline List 3"/>
    <w:basedOn w:val="Bezseznamu"/>
    <w:semiHidden/>
    <w:rsid w:val="00794E4C"/>
    <w:pPr>
      <w:numPr>
        <w:numId w:val="14"/>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rPr>
  </w:style>
  <w:style w:type="character" w:styleId="Hypertextovodkaz">
    <w:name w:val="Hyperlink"/>
    <w:uiPriority w:val="99"/>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link w:val="NzevChar"/>
    <w:uiPriority w:val="10"/>
    <w:qFormat/>
    <w:rsid w:val="00794E4C"/>
    <w:pPr>
      <w:spacing w:after="60"/>
      <w:jc w:val="center"/>
      <w:outlineLvl w:val="0"/>
    </w:pPr>
    <w:rPr>
      <w:b/>
      <w:bCs/>
      <w:kern w:val="28"/>
      <w:sz w:val="32"/>
      <w:szCs w:val="32"/>
    </w:rPr>
  </w:style>
  <w:style w:type="paragraph" w:styleId="Normlnweb">
    <w:name w:val="Normal (Web)"/>
    <w:basedOn w:val="Normln"/>
    <w:uiPriority w:val="99"/>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5"/>
      </w:numPr>
    </w:pPr>
  </w:style>
  <w:style w:type="paragraph" w:styleId="Seznamsodrkami2">
    <w:name w:val="List Bullet 2"/>
    <w:basedOn w:val="Normln"/>
    <w:semiHidden/>
    <w:rsid w:val="00794E4C"/>
    <w:pPr>
      <w:numPr>
        <w:numId w:val="16"/>
      </w:numPr>
    </w:pPr>
  </w:style>
  <w:style w:type="paragraph" w:styleId="Seznamsodrkami3">
    <w:name w:val="List Bullet 3"/>
    <w:basedOn w:val="Normln"/>
    <w:semiHidden/>
    <w:rsid w:val="00794E4C"/>
    <w:pPr>
      <w:numPr>
        <w:numId w:val="17"/>
      </w:numPr>
    </w:pPr>
  </w:style>
  <w:style w:type="paragraph" w:styleId="Seznamsodrkami4">
    <w:name w:val="List Bullet 4"/>
    <w:basedOn w:val="Normln"/>
    <w:semiHidden/>
    <w:rsid w:val="00794E4C"/>
    <w:pPr>
      <w:numPr>
        <w:numId w:val="18"/>
      </w:numPr>
    </w:pPr>
  </w:style>
  <w:style w:type="paragraph" w:styleId="Seznamsodrkami5">
    <w:name w:val="List Bullet 5"/>
    <w:basedOn w:val="Normln"/>
    <w:semiHidden/>
    <w:rsid w:val="00794E4C"/>
    <w:pPr>
      <w:numPr>
        <w:numId w:val="19"/>
      </w:numPr>
    </w:pPr>
  </w:style>
  <w:style w:type="character" w:styleId="Siln">
    <w:name w:val="Strong"/>
    <w:uiPriority w:val="22"/>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6"/>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semiHidden/>
    <w:rsid w:val="004202CB"/>
  </w:style>
  <w:style w:type="character" w:styleId="Znakapoznpodarou">
    <w:name w:val="footnote reference"/>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aliases w:val="List Level 1,PRI Bullets,Bullet Paragraph,References,маркированный,Main numbered paragraph,Question"/>
    <w:basedOn w:val="Normln"/>
    <w:link w:val="OdstavecseseznamemChar"/>
    <w:uiPriority w:val="34"/>
    <w:qFormat/>
    <w:rsid w:val="00B93072"/>
    <w:pPr>
      <w:ind w:left="720"/>
      <w:contextualSpacing/>
    </w:pPr>
  </w:style>
  <w:style w:type="character" w:customStyle="1" w:styleId="NzevChar">
    <w:name w:val="Název Char"/>
    <w:basedOn w:val="Standardnpsmoodstavce"/>
    <w:link w:val="Nzev"/>
    <w:uiPriority w:val="10"/>
    <w:rsid w:val="007238DA"/>
    <w:rPr>
      <w:rFonts w:ascii="Arial" w:hAnsi="Arial" w:cs="Arial"/>
      <w:b/>
      <w:bCs/>
      <w:kern w:val="28"/>
      <w:sz w:val="32"/>
      <w:szCs w:val="32"/>
    </w:rPr>
  </w:style>
  <w:style w:type="paragraph" w:styleId="Revize">
    <w:name w:val="Revision"/>
    <w:hidden/>
    <w:uiPriority w:val="99"/>
    <w:semiHidden/>
    <w:rsid w:val="00DE5661"/>
    <w:rPr>
      <w:rFonts w:ascii="Arial" w:hAnsi="Arial" w:cs="Arial"/>
    </w:rPr>
  </w:style>
  <w:style w:type="character" w:customStyle="1" w:styleId="Nevyeenzmnka2">
    <w:name w:val="Nevyřešená zmínka2"/>
    <w:basedOn w:val="Standardnpsmoodstavce"/>
    <w:uiPriority w:val="99"/>
    <w:semiHidden/>
    <w:unhideWhenUsed/>
    <w:rsid w:val="00431E52"/>
    <w:rPr>
      <w:color w:val="605E5C"/>
      <w:shd w:val="clear" w:color="auto" w:fill="E1DFDD"/>
    </w:rPr>
  </w:style>
  <w:style w:type="paragraph" w:customStyle="1" w:styleId="FIL3Body">
    <w:name w:val="FIL_3_Body"/>
    <w:basedOn w:val="Normln"/>
    <w:qFormat/>
    <w:rsid w:val="00611687"/>
    <w:pPr>
      <w:spacing w:before="45" w:after="120" w:line="276" w:lineRule="auto"/>
      <w:jc w:val="left"/>
    </w:pPr>
    <w:rPr>
      <w:rFonts w:cs="Times New Roman"/>
      <w:color w:val="555555"/>
      <w:sz w:val="18"/>
      <w:szCs w:val="24"/>
      <w:lang w:val="en-GB" w:eastAsia="en-GB"/>
    </w:rPr>
  </w:style>
  <w:style w:type="paragraph" w:customStyle="1" w:styleId="f2-zkladn0">
    <w:name w:val="f2-zkladn"/>
    <w:basedOn w:val="Normln"/>
    <w:rsid w:val="00D404D5"/>
    <w:pPr>
      <w:spacing w:before="100" w:beforeAutospacing="1" w:after="100" w:afterAutospacing="1" w:line="240" w:lineRule="auto"/>
      <w:jc w:val="left"/>
    </w:pPr>
    <w:rPr>
      <w:rFonts w:ascii="Times New Roman" w:hAnsi="Times New Roman" w:cs="Times New Roman"/>
      <w:sz w:val="24"/>
      <w:szCs w:val="24"/>
    </w:rPr>
  </w:style>
  <w:style w:type="paragraph" w:customStyle="1" w:styleId="body-l">
    <w:name w:val="body-l"/>
    <w:basedOn w:val="Normln"/>
    <w:rsid w:val="0057387E"/>
    <w:pPr>
      <w:spacing w:before="100" w:beforeAutospacing="1" w:after="100" w:afterAutospacing="1" w:line="240" w:lineRule="auto"/>
      <w:jc w:val="left"/>
    </w:pPr>
    <w:rPr>
      <w:rFonts w:ascii="Times New Roman" w:hAnsi="Times New Roman" w:cs="Times New Roman"/>
      <w:sz w:val="24"/>
      <w:szCs w:val="24"/>
    </w:rPr>
  </w:style>
  <w:style w:type="paragraph" w:customStyle="1" w:styleId="paragraph">
    <w:name w:val="paragraph"/>
    <w:basedOn w:val="Normln"/>
    <w:rsid w:val="006B6F61"/>
    <w:pPr>
      <w:spacing w:before="100" w:beforeAutospacing="1" w:after="100" w:afterAutospacing="1" w:line="240" w:lineRule="auto"/>
      <w:jc w:val="left"/>
    </w:pPr>
    <w:rPr>
      <w:rFonts w:ascii="Times New Roman" w:hAnsi="Times New Roman" w:cs="Times New Roman"/>
      <w:sz w:val="24"/>
      <w:szCs w:val="24"/>
      <w:lang w:val="en-GB" w:eastAsia="zh-CN"/>
    </w:rPr>
  </w:style>
  <w:style w:type="character" w:customStyle="1" w:styleId="normaltextrun">
    <w:name w:val="normaltextrun"/>
    <w:basedOn w:val="Standardnpsmoodstavce"/>
    <w:rsid w:val="006B6F61"/>
  </w:style>
  <w:style w:type="character" w:customStyle="1" w:styleId="eop">
    <w:name w:val="eop"/>
    <w:basedOn w:val="Standardnpsmoodstavce"/>
    <w:rsid w:val="006B6F61"/>
  </w:style>
  <w:style w:type="paragraph" w:customStyle="1" w:styleId="xmsonormal">
    <w:name w:val="x_msonormal"/>
    <w:basedOn w:val="Normln"/>
    <w:rsid w:val="00A82114"/>
    <w:pPr>
      <w:spacing w:before="0" w:line="240" w:lineRule="auto"/>
      <w:jc w:val="left"/>
    </w:pPr>
    <w:rPr>
      <w:rFonts w:ascii="Calibri" w:eastAsia="Gulim" w:hAnsi="Calibri" w:cs="Calibri"/>
      <w:sz w:val="22"/>
      <w:szCs w:val="22"/>
      <w:lang w:val="en-GB" w:eastAsia="ko-KR"/>
    </w:rPr>
  </w:style>
  <w:style w:type="character" w:customStyle="1" w:styleId="OdstavecseseznamemChar">
    <w:name w:val="Odstavec se seznamem Char"/>
    <w:aliases w:val="List Level 1 Char,PRI Bullets Char,Bullet Paragraph Char,References Char,маркированный Char,Main numbered paragraph Char,Question Char"/>
    <w:link w:val="Odstavecseseznamem"/>
    <w:uiPriority w:val="34"/>
    <w:locked/>
    <w:rsid w:val="00A82114"/>
    <w:rPr>
      <w:rFonts w:ascii="Arial" w:hAnsi="Arial" w:cs="Arial"/>
    </w:rPr>
  </w:style>
  <w:style w:type="character" w:customStyle="1" w:styleId="ui-provider">
    <w:name w:val="ui-provider"/>
    <w:basedOn w:val="Standardnpsmoodstavce"/>
    <w:rsid w:val="00EB5B49"/>
  </w:style>
  <w:style w:type="character" w:styleId="Nevyeenzmnka">
    <w:name w:val="Unresolved Mention"/>
    <w:basedOn w:val="Standardnpsmoodstavce"/>
    <w:uiPriority w:val="99"/>
    <w:semiHidden/>
    <w:unhideWhenUsed/>
    <w:rsid w:val="00AB75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00215">
      <w:bodyDiv w:val="1"/>
      <w:marLeft w:val="0"/>
      <w:marRight w:val="0"/>
      <w:marTop w:val="0"/>
      <w:marBottom w:val="0"/>
      <w:divBdr>
        <w:top w:val="none" w:sz="0" w:space="0" w:color="auto"/>
        <w:left w:val="none" w:sz="0" w:space="0" w:color="auto"/>
        <w:bottom w:val="none" w:sz="0" w:space="0" w:color="auto"/>
        <w:right w:val="none" w:sz="0" w:space="0" w:color="auto"/>
      </w:divBdr>
    </w:div>
    <w:div w:id="47845716">
      <w:bodyDiv w:val="1"/>
      <w:marLeft w:val="0"/>
      <w:marRight w:val="0"/>
      <w:marTop w:val="0"/>
      <w:marBottom w:val="0"/>
      <w:divBdr>
        <w:top w:val="none" w:sz="0" w:space="0" w:color="auto"/>
        <w:left w:val="none" w:sz="0" w:space="0" w:color="auto"/>
        <w:bottom w:val="none" w:sz="0" w:space="0" w:color="auto"/>
        <w:right w:val="none" w:sz="0" w:space="0" w:color="auto"/>
      </w:divBdr>
    </w:div>
    <w:div w:id="130027365">
      <w:bodyDiv w:val="1"/>
      <w:marLeft w:val="0"/>
      <w:marRight w:val="0"/>
      <w:marTop w:val="0"/>
      <w:marBottom w:val="0"/>
      <w:divBdr>
        <w:top w:val="none" w:sz="0" w:space="0" w:color="auto"/>
        <w:left w:val="none" w:sz="0" w:space="0" w:color="auto"/>
        <w:bottom w:val="none" w:sz="0" w:space="0" w:color="auto"/>
        <w:right w:val="none" w:sz="0" w:space="0" w:color="auto"/>
      </w:divBdr>
    </w:div>
    <w:div w:id="229002302">
      <w:bodyDiv w:val="1"/>
      <w:marLeft w:val="0"/>
      <w:marRight w:val="0"/>
      <w:marTop w:val="0"/>
      <w:marBottom w:val="0"/>
      <w:divBdr>
        <w:top w:val="none" w:sz="0" w:space="0" w:color="auto"/>
        <w:left w:val="none" w:sz="0" w:space="0" w:color="auto"/>
        <w:bottom w:val="none" w:sz="0" w:space="0" w:color="auto"/>
        <w:right w:val="none" w:sz="0" w:space="0" w:color="auto"/>
      </w:divBdr>
    </w:div>
    <w:div w:id="259224303">
      <w:bodyDiv w:val="1"/>
      <w:marLeft w:val="0"/>
      <w:marRight w:val="0"/>
      <w:marTop w:val="0"/>
      <w:marBottom w:val="0"/>
      <w:divBdr>
        <w:top w:val="none" w:sz="0" w:space="0" w:color="auto"/>
        <w:left w:val="none" w:sz="0" w:space="0" w:color="auto"/>
        <w:bottom w:val="none" w:sz="0" w:space="0" w:color="auto"/>
        <w:right w:val="none" w:sz="0" w:space="0" w:color="auto"/>
      </w:divBdr>
    </w:div>
    <w:div w:id="269316379">
      <w:bodyDiv w:val="1"/>
      <w:marLeft w:val="0"/>
      <w:marRight w:val="0"/>
      <w:marTop w:val="0"/>
      <w:marBottom w:val="0"/>
      <w:divBdr>
        <w:top w:val="none" w:sz="0" w:space="0" w:color="auto"/>
        <w:left w:val="none" w:sz="0" w:space="0" w:color="auto"/>
        <w:bottom w:val="none" w:sz="0" w:space="0" w:color="auto"/>
        <w:right w:val="none" w:sz="0" w:space="0" w:color="auto"/>
      </w:divBdr>
    </w:div>
    <w:div w:id="305555488">
      <w:bodyDiv w:val="1"/>
      <w:marLeft w:val="0"/>
      <w:marRight w:val="0"/>
      <w:marTop w:val="0"/>
      <w:marBottom w:val="0"/>
      <w:divBdr>
        <w:top w:val="none" w:sz="0" w:space="0" w:color="auto"/>
        <w:left w:val="none" w:sz="0" w:space="0" w:color="auto"/>
        <w:bottom w:val="none" w:sz="0" w:space="0" w:color="auto"/>
        <w:right w:val="none" w:sz="0" w:space="0" w:color="auto"/>
      </w:divBdr>
    </w:div>
    <w:div w:id="349262461">
      <w:bodyDiv w:val="1"/>
      <w:marLeft w:val="0"/>
      <w:marRight w:val="0"/>
      <w:marTop w:val="0"/>
      <w:marBottom w:val="0"/>
      <w:divBdr>
        <w:top w:val="none" w:sz="0" w:space="0" w:color="auto"/>
        <w:left w:val="none" w:sz="0" w:space="0" w:color="auto"/>
        <w:bottom w:val="none" w:sz="0" w:space="0" w:color="auto"/>
        <w:right w:val="none" w:sz="0" w:space="0" w:color="auto"/>
      </w:divBdr>
    </w:div>
    <w:div w:id="473720710">
      <w:bodyDiv w:val="1"/>
      <w:marLeft w:val="0"/>
      <w:marRight w:val="0"/>
      <w:marTop w:val="0"/>
      <w:marBottom w:val="0"/>
      <w:divBdr>
        <w:top w:val="none" w:sz="0" w:space="0" w:color="auto"/>
        <w:left w:val="none" w:sz="0" w:space="0" w:color="auto"/>
        <w:bottom w:val="none" w:sz="0" w:space="0" w:color="auto"/>
        <w:right w:val="none" w:sz="0" w:space="0" w:color="auto"/>
      </w:divBdr>
    </w:div>
    <w:div w:id="509566217">
      <w:bodyDiv w:val="1"/>
      <w:marLeft w:val="0"/>
      <w:marRight w:val="0"/>
      <w:marTop w:val="0"/>
      <w:marBottom w:val="0"/>
      <w:divBdr>
        <w:top w:val="none" w:sz="0" w:space="0" w:color="auto"/>
        <w:left w:val="none" w:sz="0" w:space="0" w:color="auto"/>
        <w:bottom w:val="none" w:sz="0" w:space="0" w:color="auto"/>
        <w:right w:val="none" w:sz="0" w:space="0" w:color="auto"/>
      </w:divBdr>
    </w:div>
    <w:div w:id="515775441">
      <w:bodyDiv w:val="1"/>
      <w:marLeft w:val="0"/>
      <w:marRight w:val="0"/>
      <w:marTop w:val="0"/>
      <w:marBottom w:val="0"/>
      <w:divBdr>
        <w:top w:val="none" w:sz="0" w:space="0" w:color="auto"/>
        <w:left w:val="none" w:sz="0" w:space="0" w:color="auto"/>
        <w:bottom w:val="none" w:sz="0" w:space="0" w:color="auto"/>
        <w:right w:val="none" w:sz="0" w:space="0" w:color="auto"/>
      </w:divBdr>
    </w:div>
    <w:div w:id="608702094">
      <w:bodyDiv w:val="1"/>
      <w:marLeft w:val="0"/>
      <w:marRight w:val="0"/>
      <w:marTop w:val="0"/>
      <w:marBottom w:val="0"/>
      <w:divBdr>
        <w:top w:val="none" w:sz="0" w:space="0" w:color="auto"/>
        <w:left w:val="none" w:sz="0" w:space="0" w:color="auto"/>
        <w:bottom w:val="none" w:sz="0" w:space="0" w:color="auto"/>
        <w:right w:val="none" w:sz="0" w:space="0" w:color="auto"/>
      </w:divBdr>
    </w:div>
    <w:div w:id="609049184">
      <w:bodyDiv w:val="1"/>
      <w:marLeft w:val="0"/>
      <w:marRight w:val="0"/>
      <w:marTop w:val="0"/>
      <w:marBottom w:val="0"/>
      <w:divBdr>
        <w:top w:val="none" w:sz="0" w:space="0" w:color="auto"/>
        <w:left w:val="none" w:sz="0" w:space="0" w:color="auto"/>
        <w:bottom w:val="none" w:sz="0" w:space="0" w:color="auto"/>
        <w:right w:val="none" w:sz="0" w:space="0" w:color="auto"/>
      </w:divBdr>
    </w:div>
    <w:div w:id="645664831">
      <w:bodyDiv w:val="1"/>
      <w:marLeft w:val="0"/>
      <w:marRight w:val="0"/>
      <w:marTop w:val="0"/>
      <w:marBottom w:val="0"/>
      <w:divBdr>
        <w:top w:val="none" w:sz="0" w:space="0" w:color="auto"/>
        <w:left w:val="none" w:sz="0" w:space="0" w:color="auto"/>
        <w:bottom w:val="none" w:sz="0" w:space="0" w:color="auto"/>
        <w:right w:val="none" w:sz="0" w:space="0" w:color="auto"/>
      </w:divBdr>
    </w:div>
    <w:div w:id="667100440">
      <w:bodyDiv w:val="1"/>
      <w:marLeft w:val="0"/>
      <w:marRight w:val="0"/>
      <w:marTop w:val="0"/>
      <w:marBottom w:val="0"/>
      <w:divBdr>
        <w:top w:val="none" w:sz="0" w:space="0" w:color="auto"/>
        <w:left w:val="none" w:sz="0" w:space="0" w:color="auto"/>
        <w:bottom w:val="none" w:sz="0" w:space="0" w:color="auto"/>
        <w:right w:val="none" w:sz="0" w:space="0" w:color="auto"/>
      </w:divBdr>
    </w:div>
    <w:div w:id="814950803">
      <w:bodyDiv w:val="1"/>
      <w:marLeft w:val="0"/>
      <w:marRight w:val="0"/>
      <w:marTop w:val="0"/>
      <w:marBottom w:val="0"/>
      <w:divBdr>
        <w:top w:val="none" w:sz="0" w:space="0" w:color="auto"/>
        <w:left w:val="none" w:sz="0" w:space="0" w:color="auto"/>
        <w:bottom w:val="none" w:sz="0" w:space="0" w:color="auto"/>
        <w:right w:val="none" w:sz="0" w:space="0" w:color="auto"/>
      </w:divBdr>
    </w:div>
    <w:div w:id="833183269">
      <w:bodyDiv w:val="1"/>
      <w:marLeft w:val="0"/>
      <w:marRight w:val="0"/>
      <w:marTop w:val="0"/>
      <w:marBottom w:val="0"/>
      <w:divBdr>
        <w:top w:val="none" w:sz="0" w:space="0" w:color="auto"/>
        <w:left w:val="none" w:sz="0" w:space="0" w:color="auto"/>
        <w:bottom w:val="none" w:sz="0" w:space="0" w:color="auto"/>
        <w:right w:val="none" w:sz="0" w:space="0" w:color="auto"/>
      </w:divBdr>
    </w:div>
    <w:div w:id="923339379">
      <w:bodyDiv w:val="1"/>
      <w:marLeft w:val="0"/>
      <w:marRight w:val="0"/>
      <w:marTop w:val="0"/>
      <w:marBottom w:val="0"/>
      <w:divBdr>
        <w:top w:val="none" w:sz="0" w:space="0" w:color="auto"/>
        <w:left w:val="none" w:sz="0" w:space="0" w:color="auto"/>
        <w:bottom w:val="none" w:sz="0" w:space="0" w:color="auto"/>
        <w:right w:val="none" w:sz="0" w:space="0" w:color="auto"/>
      </w:divBdr>
    </w:div>
    <w:div w:id="1001737816">
      <w:bodyDiv w:val="1"/>
      <w:marLeft w:val="0"/>
      <w:marRight w:val="0"/>
      <w:marTop w:val="0"/>
      <w:marBottom w:val="0"/>
      <w:divBdr>
        <w:top w:val="none" w:sz="0" w:space="0" w:color="auto"/>
        <w:left w:val="none" w:sz="0" w:space="0" w:color="auto"/>
        <w:bottom w:val="none" w:sz="0" w:space="0" w:color="auto"/>
        <w:right w:val="none" w:sz="0" w:space="0" w:color="auto"/>
      </w:divBdr>
    </w:div>
    <w:div w:id="1024863374">
      <w:bodyDiv w:val="1"/>
      <w:marLeft w:val="0"/>
      <w:marRight w:val="0"/>
      <w:marTop w:val="0"/>
      <w:marBottom w:val="0"/>
      <w:divBdr>
        <w:top w:val="none" w:sz="0" w:space="0" w:color="auto"/>
        <w:left w:val="none" w:sz="0" w:space="0" w:color="auto"/>
        <w:bottom w:val="none" w:sz="0" w:space="0" w:color="auto"/>
        <w:right w:val="none" w:sz="0" w:space="0" w:color="auto"/>
      </w:divBdr>
    </w:div>
    <w:div w:id="1054163630">
      <w:bodyDiv w:val="1"/>
      <w:marLeft w:val="0"/>
      <w:marRight w:val="0"/>
      <w:marTop w:val="0"/>
      <w:marBottom w:val="0"/>
      <w:divBdr>
        <w:top w:val="none" w:sz="0" w:space="0" w:color="auto"/>
        <w:left w:val="none" w:sz="0" w:space="0" w:color="auto"/>
        <w:bottom w:val="none" w:sz="0" w:space="0" w:color="auto"/>
        <w:right w:val="none" w:sz="0" w:space="0" w:color="auto"/>
      </w:divBdr>
    </w:div>
    <w:div w:id="1093746309">
      <w:bodyDiv w:val="1"/>
      <w:marLeft w:val="0"/>
      <w:marRight w:val="0"/>
      <w:marTop w:val="0"/>
      <w:marBottom w:val="0"/>
      <w:divBdr>
        <w:top w:val="none" w:sz="0" w:space="0" w:color="auto"/>
        <w:left w:val="none" w:sz="0" w:space="0" w:color="auto"/>
        <w:bottom w:val="none" w:sz="0" w:space="0" w:color="auto"/>
        <w:right w:val="none" w:sz="0" w:space="0" w:color="auto"/>
      </w:divBdr>
    </w:div>
    <w:div w:id="1128352914">
      <w:bodyDiv w:val="1"/>
      <w:marLeft w:val="0"/>
      <w:marRight w:val="0"/>
      <w:marTop w:val="0"/>
      <w:marBottom w:val="0"/>
      <w:divBdr>
        <w:top w:val="none" w:sz="0" w:space="0" w:color="auto"/>
        <w:left w:val="none" w:sz="0" w:space="0" w:color="auto"/>
        <w:bottom w:val="none" w:sz="0" w:space="0" w:color="auto"/>
        <w:right w:val="none" w:sz="0" w:space="0" w:color="auto"/>
      </w:divBdr>
    </w:div>
    <w:div w:id="1180465971">
      <w:bodyDiv w:val="1"/>
      <w:marLeft w:val="0"/>
      <w:marRight w:val="0"/>
      <w:marTop w:val="0"/>
      <w:marBottom w:val="0"/>
      <w:divBdr>
        <w:top w:val="none" w:sz="0" w:space="0" w:color="auto"/>
        <w:left w:val="none" w:sz="0" w:space="0" w:color="auto"/>
        <w:bottom w:val="none" w:sz="0" w:space="0" w:color="auto"/>
        <w:right w:val="none" w:sz="0" w:space="0" w:color="auto"/>
      </w:divBdr>
    </w:div>
    <w:div w:id="1259825597">
      <w:bodyDiv w:val="1"/>
      <w:marLeft w:val="0"/>
      <w:marRight w:val="0"/>
      <w:marTop w:val="0"/>
      <w:marBottom w:val="0"/>
      <w:divBdr>
        <w:top w:val="none" w:sz="0" w:space="0" w:color="auto"/>
        <w:left w:val="none" w:sz="0" w:space="0" w:color="auto"/>
        <w:bottom w:val="none" w:sz="0" w:space="0" w:color="auto"/>
        <w:right w:val="none" w:sz="0" w:space="0" w:color="auto"/>
      </w:divBdr>
    </w:div>
    <w:div w:id="1284263836">
      <w:bodyDiv w:val="1"/>
      <w:marLeft w:val="0"/>
      <w:marRight w:val="0"/>
      <w:marTop w:val="0"/>
      <w:marBottom w:val="0"/>
      <w:divBdr>
        <w:top w:val="none" w:sz="0" w:space="0" w:color="auto"/>
        <w:left w:val="none" w:sz="0" w:space="0" w:color="auto"/>
        <w:bottom w:val="none" w:sz="0" w:space="0" w:color="auto"/>
        <w:right w:val="none" w:sz="0" w:space="0" w:color="auto"/>
      </w:divBdr>
    </w:div>
    <w:div w:id="1367295729">
      <w:bodyDiv w:val="1"/>
      <w:marLeft w:val="0"/>
      <w:marRight w:val="0"/>
      <w:marTop w:val="0"/>
      <w:marBottom w:val="0"/>
      <w:divBdr>
        <w:top w:val="none" w:sz="0" w:space="0" w:color="auto"/>
        <w:left w:val="none" w:sz="0" w:space="0" w:color="auto"/>
        <w:bottom w:val="none" w:sz="0" w:space="0" w:color="auto"/>
        <w:right w:val="none" w:sz="0" w:space="0" w:color="auto"/>
      </w:divBdr>
    </w:div>
    <w:div w:id="1372611917">
      <w:bodyDiv w:val="1"/>
      <w:marLeft w:val="0"/>
      <w:marRight w:val="0"/>
      <w:marTop w:val="0"/>
      <w:marBottom w:val="0"/>
      <w:divBdr>
        <w:top w:val="none" w:sz="0" w:space="0" w:color="auto"/>
        <w:left w:val="none" w:sz="0" w:space="0" w:color="auto"/>
        <w:bottom w:val="none" w:sz="0" w:space="0" w:color="auto"/>
        <w:right w:val="none" w:sz="0" w:space="0" w:color="auto"/>
      </w:divBdr>
    </w:div>
    <w:div w:id="1376393378">
      <w:bodyDiv w:val="1"/>
      <w:marLeft w:val="0"/>
      <w:marRight w:val="0"/>
      <w:marTop w:val="0"/>
      <w:marBottom w:val="0"/>
      <w:divBdr>
        <w:top w:val="none" w:sz="0" w:space="0" w:color="auto"/>
        <w:left w:val="none" w:sz="0" w:space="0" w:color="auto"/>
        <w:bottom w:val="none" w:sz="0" w:space="0" w:color="auto"/>
        <w:right w:val="none" w:sz="0" w:space="0" w:color="auto"/>
      </w:divBdr>
    </w:div>
    <w:div w:id="1413551838">
      <w:bodyDiv w:val="1"/>
      <w:marLeft w:val="0"/>
      <w:marRight w:val="0"/>
      <w:marTop w:val="0"/>
      <w:marBottom w:val="0"/>
      <w:divBdr>
        <w:top w:val="none" w:sz="0" w:space="0" w:color="auto"/>
        <w:left w:val="none" w:sz="0" w:space="0" w:color="auto"/>
        <w:bottom w:val="none" w:sz="0" w:space="0" w:color="auto"/>
        <w:right w:val="none" w:sz="0" w:space="0" w:color="auto"/>
      </w:divBdr>
    </w:div>
    <w:div w:id="1429038161">
      <w:bodyDiv w:val="1"/>
      <w:marLeft w:val="0"/>
      <w:marRight w:val="0"/>
      <w:marTop w:val="0"/>
      <w:marBottom w:val="0"/>
      <w:divBdr>
        <w:top w:val="none" w:sz="0" w:space="0" w:color="auto"/>
        <w:left w:val="none" w:sz="0" w:space="0" w:color="auto"/>
        <w:bottom w:val="none" w:sz="0" w:space="0" w:color="auto"/>
        <w:right w:val="none" w:sz="0" w:space="0" w:color="auto"/>
      </w:divBdr>
    </w:div>
    <w:div w:id="1520391237">
      <w:bodyDiv w:val="1"/>
      <w:marLeft w:val="0"/>
      <w:marRight w:val="0"/>
      <w:marTop w:val="0"/>
      <w:marBottom w:val="0"/>
      <w:divBdr>
        <w:top w:val="none" w:sz="0" w:space="0" w:color="auto"/>
        <w:left w:val="none" w:sz="0" w:space="0" w:color="auto"/>
        <w:bottom w:val="none" w:sz="0" w:space="0" w:color="auto"/>
        <w:right w:val="none" w:sz="0" w:space="0" w:color="auto"/>
      </w:divBdr>
    </w:div>
    <w:div w:id="1548764254">
      <w:bodyDiv w:val="1"/>
      <w:marLeft w:val="0"/>
      <w:marRight w:val="0"/>
      <w:marTop w:val="0"/>
      <w:marBottom w:val="0"/>
      <w:divBdr>
        <w:top w:val="none" w:sz="0" w:space="0" w:color="auto"/>
        <w:left w:val="none" w:sz="0" w:space="0" w:color="auto"/>
        <w:bottom w:val="none" w:sz="0" w:space="0" w:color="auto"/>
        <w:right w:val="none" w:sz="0" w:space="0" w:color="auto"/>
      </w:divBdr>
    </w:div>
    <w:div w:id="1551921290">
      <w:bodyDiv w:val="1"/>
      <w:marLeft w:val="0"/>
      <w:marRight w:val="0"/>
      <w:marTop w:val="0"/>
      <w:marBottom w:val="0"/>
      <w:divBdr>
        <w:top w:val="none" w:sz="0" w:space="0" w:color="auto"/>
        <w:left w:val="none" w:sz="0" w:space="0" w:color="auto"/>
        <w:bottom w:val="none" w:sz="0" w:space="0" w:color="auto"/>
        <w:right w:val="none" w:sz="0" w:space="0" w:color="auto"/>
      </w:divBdr>
    </w:div>
    <w:div w:id="1569225950">
      <w:bodyDiv w:val="1"/>
      <w:marLeft w:val="0"/>
      <w:marRight w:val="0"/>
      <w:marTop w:val="0"/>
      <w:marBottom w:val="0"/>
      <w:divBdr>
        <w:top w:val="none" w:sz="0" w:space="0" w:color="auto"/>
        <w:left w:val="none" w:sz="0" w:space="0" w:color="auto"/>
        <w:bottom w:val="none" w:sz="0" w:space="0" w:color="auto"/>
        <w:right w:val="none" w:sz="0" w:space="0" w:color="auto"/>
      </w:divBdr>
    </w:div>
    <w:div w:id="1609578883">
      <w:bodyDiv w:val="1"/>
      <w:marLeft w:val="0"/>
      <w:marRight w:val="0"/>
      <w:marTop w:val="0"/>
      <w:marBottom w:val="0"/>
      <w:divBdr>
        <w:top w:val="none" w:sz="0" w:space="0" w:color="auto"/>
        <w:left w:val="none" w:sz="0" w:space="0" w:color="auto"/>
        <w:bottom w:val="none" w:sz="0" w:space="0" w:color="auto"/>
        <w:right w:val="none" w:sz="0" w:space="0" w:color="auto"/>
      </w:divBdr>
    </w:div>
    <w:div w:id="1639796397">
      <w:bodyDiv w:val="1"/>
      <w:marLeft w:val="0"/>
      <w:marRight w:val="0"/>
      <w:marTop w:val="0"/>
      <w:marBottom w:val="0"/>
      <w:divBdr>
        <w:top w:val="none" w:sz="0" w:space="0" w:color="auto"/>
        <w:left w:val="none" w:sz="0" w:space="0" w:color="auto"/>
        <w:bottom w:val="none" w:sz="0" w:space="0" w:color="auto"/>
        <w:right w:val="none" w:sz="0" w:space="0" w:color="auto"/>
      </w:divBdr>
    </w:div>
    <w:div w:id="1725982705">
      <w:bodyDiv w:val="1"/>
      <w:marLeft w:val="0"/>
      <w:marRight w:val="0"/>
      <w:marTop w:val="0"/>
      <w:marBottom w:val="0"/>
      <w:divBdr>
        <w:top w:val="none" w:sz="0" w:space="0" w:color="auto"/>
        <w:left w:val="none" w:sz="0" w:space="0" w:color="auto"/>
        <w:bottom w:val="none" w:sz="0" w:space="0" w:color="auto"/>
        <w:right w:val="none" w:sz="0" w:space="0" w:color="auto"/>
      </w:divBdr>
    </w:div>
    <w:div w:id="1794322948">
      <w:bodyDiv w:val="1"/>
      <w:marLeft w:val="0"/>
      <w:marRight w:val="0"/>
      <w:marTop w:val="0"/>
      <w:marBottom w:val="0"/>
      <w:divBdr>
        <w:top w:val="none" w:sz="0" w:space="0" w:color="auto"/>
        <w:left w:val="none" w:sz="0" w:space="0" w:color="auto"/>
        <w:bottom w:val="none" w:sz="0" w:space="0" w:color="auto"/>
        <w:right w:val="none" w:sz="0" w:space="0" w:color="auto"/>
      </w:divBdr>
    </w:div>
    <w:div w:id="1817381830">
      <w:bodyDiv w:val="1"/>
      <w:marLeft w:val="0"/>
      <w:marRight w:val="0"/>
      <w:marTop w:val="0"/>
      <w:marBottom w:val="0"/>
      <w:divBdr>
        <w:top w:val="none" w:sz="0" w:space="0" w:color="auto"/>
        <w:left w:val="none" w:sz="0" w:space="0" w:color="auto"/>
        <w:bottom w:val="none" w:sz="0" w:space="0" w:color="auto"/>
        <w:right w:val="none" w:sz="0" w:space="0" w:color="auto"/>
      </w:divBdr>
    </w:div>
    <w:div w:id="1822455272">
      <w:bodyDiv w:val="1"/>
      <w:marLeft w:val="0"/>
      <w:marRight w:val="0"/>
      <w:marTop w:val="0"/>
      <w:marBottom w:val="0"/>
      <w:divBdr>
        <w:top w:val="none" w:sz="0" w:space="0" w:color="auto"/>
        <w:left w:val="none" w:sz="0" w:space="0" w:color="auto"/>
        <w:bottom w:val="none" w:sz="0" w:space="0" w:color="auto"/>
        <w:right w:val="none" w:sz="0" w:space="0" w:color="auto"/>
      </w:divBdr>
    </w:div>
    <w:div w:id="1834956652">
      <w:bodyDiv w:val="1"/>
      <w:marLeft w:val="0"/>
      <w:marRight w:val="0"/>
      <w:marTop w:val="0"/>
      <w:marBottom w:val="0"/>
      <w:divBdr>
        <w:top w:val="none" w:sz="0" w:space="0" w:color="auto"/>
        <w:left w:val="none" w:sz="0" w:space="0" w:color="auto"/>
        <w:bottom w:val="none" w:sz="0" w:space="0" w:color="auto"/>
        <w:right w:val="none" w:sz="0" w:space="0" w:color="auto"/>
      </w:divBdr>
    </w:div>
    <w:div w:id="1888293296">
      <w:bodyDiv w:val="1"/>
      <w:marLeft w:val="0"/>
      <w:marRight w:val="0"/>
      <w:marTop w:val="0"/>
      <w:marBottom w:val="0"/>
      <w:divBdr>
        <w:top w:val="none" w:sz="0" w:space="0" w:color="auto"/>
        <w:left w:val="none" w:sz="0" w:space="0" w:color="auto"/>
        <w:bottom w:val="none" w:sz="0" w:space="0" w:color="auto"/>
        <w:right w:val="none" w:sz="0" w:space="0" w:color="auto"/>
      </w:divBdr>
    </w:div>
    <w:div w:id="2057385756">
      <w:bodyDiv w:val="1"/>
      <w:marLeft w:val="0"/>
      <w:marRight w:val="0"/>
      <w:marTop w:val="0"/>
      <w:marBottom w:val="0"/>
      <w:divBdr>
        <w:top w:val="none" w:sz="0" w:space="0" w:color="auto"/>
        <w:left w:val="none" w:sz="0" w:space="0" w:color="auto"/>
        <w:bottom w:val="none" w:sz="0" w:space="0" w:color="auto"/>
        <w:right w:val="none" w:sz="0" w:space="0" w:color="auto"/>
      </w:divBdr>
    </w:div>
    <w:div w:id="2096784861">
      <w:bodyDiv w:val="1"/>
      <w:marLeft w:val="0"/>
      <w:marRight w:val="0"/>
      <w:marTop w:val="0"/>
      <w:marBottom w:val="0"/>
      <w:divBdr>
        <w:top w:val="none" w:sz="0" w:space="0" w:color="auto"/>
        <w:left w:val="none" w:sz="0" w:space="0" w:color="auto"/>
        <w:bottom w:val="none" w:sz="0" w:space="0" w:color="auto"/>
        <w:right w:val="none" w:sz="0" w:space="0" w:color="auto"/>
      </w:divBdr>
    </w:div>
    <w:div w:id="2125225483">
      <w:bodyDiv w:val="1"/>
      <w:marLeft w:val="0"/>
      <w:marRight w:val="0"/>
      <w:marTop w:val="0"/>
      <w:marBottom w:val="0"/>
      <w:divBdr>
        <w:top w:val="none" w:sz="0" w:space="0" w:color="auto"/>
        <w:left w:val="none" w:sz="0" w:space="0" w:color="auto"/>
        <w:bottom w:val="none" w:sz="0" w:space="0" w:color="auto"/>
        <w:right w:val="none" w:sz="0" w:space="0" w:color="auto"/>
      </w:divBdr>
    </w:div>
    <w:div w:id="2135127825">
      <w:bodyDiv w:val="1"/>
      <w:marLeft w:val="0"/>
      <w:marRight w:val="0"/>
      <w:marTop w:val="0"/>
      <w:marBottom w:val="0"/>
      <w:divBdr>
        <w:top w:val="none" w:sz="0" w:space="0" w:color="auto"/>
        <w:left w:val="none" w:sz="0" w:space="0" w:color="auto"/>
        <w:bottom w:val="none" w:sz="0" w:space="0" w:color="auto"/>
        <w:right w:val="none" w:sz="0" w:space="0" w:color="auto"/>
      </w:divBdr>
    </w:div>
    <w:div w:id="214692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delity.c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liska.krohova@crestcom.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82c5473-2b97-4cd0-ba19-d66cd0f46ac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4DA9842DBA47FB4F97EE05D15FAAB50A" ma:contentTypeVersion="4" ma:contentTypeDescription="Vytvoří nový dokument" ma:contentTypeScope="" ma:versionID="6f9644b4e43d6333fe68447961a283bf">
  <xsd:schema xmlns:xsd="http://www.w3.org/2001/XMLSchema" xmlns:xs="http://www.w3.org/2001/XMLSchema" xmlns:p="http://schemas.microsoft.com/office/2006/metadata/properties" xmlns:ns3="582c5473-2b97-4cd0-ba19-d66cd0f46ac6" targetNamespace="http://schemas.microsoft.com/office/2006/metadata/properties" ma:root="true" ma:fieldsID="52da21f40bf929f7e4944f73f6eb16e5" ns3:_="">
    <xsd:import namespace="582c5473-2b97-4cd0-ba19-d66cd0f46ac6"/>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c5473-2b97-4cd0-ba19-d66cd0f46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663A9B-5F35-4DB3-B406-110DCFBB6C4E}">
  <ds:schemaRefs>
    <ds:schemaRef ds:uri="http://schemas.microsoft.com/office/2006/metadata/properties"/>
    <ds:schemaRef ds:uri="http://schemas.microsoft.com/office/infopath/2007/PartnerControls"/>
    <ds:schemaRef ds:uri="582c5473-2b97-4cd0-ba19-d66cd0f46ac6"/>
  </ds:schemaRefs>
</ds:datastoreItem>
</file>

<file path=customXml/itemProps2.xml><?xml version="1.0" encoding="utf-8"?>
<ds:datastoreItem xmlns:ds="http://schemas.openxmlformats.org/officeDocument/2006/customXml" ds:itemID="{6FF2901F-9299-4A9A-817D-EAA7280ADC3F}">
  <ds:schemaRefs>
    <ds:schemaRef ds:uri="http://schemas.microsoft.com/sharepoint/v3/contenttype/forms"/>
  </ds:schemaRefs>
</ds:datastoreItem>
</file>

<file path=customXml/itemProps3.xml><?xml version="1.0" encoding="utf-8"?>
<ds:datastoreItem xmlns:ds="http://schemas.openxmlformats.org/officeDocument/2006/customXml" ds:itemID="{E0E59371-464E-462D-AA79-EE80735018D8}">
  <ds:schemaRefs>
    <ds:schemaRef ds:uri="http://schemas.openxmlformats.org/officeDocument/2006/bibliography"/>
  </ds:schemaRefs>
</ds:datastoreItem>
</file>

<file path=customXml/itemProps4.xml><?xml version="1.0" encoding="utf-8"?>
<ds:datastoreItem xmlns:ds="http://schemas.openxmlformats.org/officeDocument/2006/customXml" ds:itemID="{15A7AA92-9CB9-4BF8-B360-F6AABA4F8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c5473-2b97-4cd0-ba19-d66cd0f46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1850</Words>
  <Characters>10917</Characters>
  <Application>Microsoft Office Word</Application>
  <DocSecurity>0</DocSecurity>
  <Lines>90</Lines>
  <Paragraphs>25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Dokument</vt:lpstr>
      <vt:lpstr>Dokument</vt:lpstr>
    </vt:vector>
  </TitlesOfParts>
  <Company>TPA-NOTIA, s.r.o.</Company>
  <LinksUpToDate>false</LinksUpToDate>
  <CharactersWithSpaces>12742</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Martina Lambert</dc:creator>
  <cp:lastModifiedBy>Gabriela Hampejsová</cp:lastModifiedBy>
  <cp:revision>6</cp:revision>
  <cp:lastPrinted>2015-11-30T16:29:00Z</cp:lastPrinted>
  <dcterms:created xsi:type="dcterms:W3CDTF">2024-02-22T13:40:00Z</dcterms:created>
  <dcterms:modified xsi:type="dcterms:W3CDTF">2024-02-23T11:05:00Z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0x0101004DA9842DBA47FB4F97EE05D15FAAB50A</vt:lpwstr>
  </property>
  <property fmtid="{D5CDD505-2E9C-101B-9397-08002B2CF9AE}" pid="3" name="MSIP_Label_be873328-34e0-4f6c-84cb-dd757c63c1a0_Enabled">
    <vt:lpwstr>true</vt:lpwstr>
  </property>
  <property fmtid="{D5CDD505-2E9C-101B-9397-08002B2CF9AE}" pid="4" name="MSIP_Label_be873328-34e0-4f6c-84cb-dd757c63c1a0_SetDate">
    <vt:lpwstr>2023-03-20T14:00:05Z</vt:lpwstr>
  </property>
  <property fmtid="{D5CDD505-2E9C-101B-9397-08002B2CF9AE}" pid="5" name="MSIP_Label_be873328-34e0-4f6c-84cb-dd757c63c1a0_Method">
    <vt:lpwstr>Privileged</vt:lpwstr>
  </property>
  <property fmtid="{D5CDD505-2E9C-101B-9397-08002B2CF9AE}" pid="6" name="MSIP_Label_be873328-34e0-4f6c-84cb-dd757c63c1a0_Name">
    <vt:lpwstr>FIL-Internal</vt:lpwstr>
  </property>
  <property fmtid="{D5CDD505-2E9C-101B-9397-08002B2CF9AE}" pid="7" name="MSIP_Label_be873328-34e0-4f6c-84cb-dd757c63c1a0_SiteId">
    <vt:lpwstr>6b94db52-3791-432c-b97e-871411cd202e</vt:lpwstr>
  </property>
  <property fmtid="{D5CDD505-2E9C-101B-9397-08002B2CF9AE}" pid="8" name="MSIP_Label_be873328-34e0-4f6c-84cb-dd757c63c1a0_ActionId">
    <vt:lpwstr>8add6277-4d5f-4a76-983e-75d9da0c44e6</vt:lpwstr>
  </property>
  <property fmtid="{D5CDD505-2E9C-101B-9397-08002B2CF9AE}" pid="9" name="MSIP_Label_be873328-34e0-4f6c-84cb-dd757c63c1a0_ContentBits">
    <vt:lpwstr>0</vt:lpwstr>
  </property>
</Properties>
</file>